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3C8F" w14:textId="7CAFEF68" w:rsidR="00B77748" w:rsidRDefault="00B77748" w:rsidP="00B77748">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w:t>
      </w:r>
      <w:r w:rsidR="00CF66FA">
        <w:rPr>
          <w:b/>
          <w:sz w:val="24"/>
          <w:szCs w:val="24"/>
        </w:rPr>
        <w:t>3</w:t>
      </w:r>
      <w:r>
        <w:rPr>
          <w:b/>
          <w:i/>
          <w:noProof/>
          <w:sz w:val="28"/>
        </w:rPr>
        <w:tab/>
      </w:r>
      <w:r w:rsidR="00D1674E" w:rsidRPr="00D1674E">
        <w:rPr>
          <w:b/>
          <w:noProof/>
          <w:sz w:val="24"/>
        </w:rPr>
        <w:t>R4-2418532</w:t>
      </w:r>
    </w:p>
    <w:p w14:paraId="456F64AD" w14:textId="06F31B69" w:rsidR="00135619" w:rsidRDefault="00CF66FA" w:rsidP="00D309CC">
      <w:pPr>
        <w:tabs>
          <w:tab w:val="left" w:pos="2160"/>
        </w:tabs>
        <w:rPr>
          <w:rFonts w:ascii="Arial" w:hAnsi="Arial" w:cs="Arial"/>
          <w:b/>
          <w:noProof/>
          <w:szCs w:val="20"/>
          <w:lang w:val="en-GB" w:eastAsia="en-US"/>
        </w:rPr>
      </w:pPr>
      <w:r w:rsidRPr="00CF66FA">
        <w:rPr>
          <w:rFonts w:ascii="Arial" w:hAnsi="Arial" w:cs="Arial"/>
          <w:b/>
          <w:noProof/>
          <w:szCs w:val="20"/>
          <w:lang w:val="en-GB" w:eastAsia="en-US"/>
        </w:rPr>
        <w:t>Orlando, US, 18th – 22nd November, 2024</w:t>
      </w:r>
    </w:p>
    <w:p w14:paraId="74D48D19" w14:textId="77777777" w:rsidR="00B77748" w:rsidRPr="00B77748" w:rsidRDefault="00B77748" w:rsidP="00D309CC">
      <w:pPr>
        <w:tabs>
          <w:tab w:val="left" w:pos="2160"/>
        </w:tabs>
        <w:rPr>
          <w:rFonts w:ascii="Arial" w:hAnsi="Arial" w:cs="Arial"/>
          <w:b/>
          <w:lang w:val="en-GB"/>
        </w:rPr>
      </w:pPr>
    </w:p>
    <w:p w14:paraId="6DDCE159" w14:textId="65B7BC22" w:rsidR="00D309CC" w:rsidRPr="0008103A" w:rsidRDefault="00D309CC" w:rsidP="00D309CC">
      <w:pPr>
        <w:pStyle w:val="CH"/>
        <w:rPr>
          <w:b w:val="0"/>
        </w:rPr>
      </w:pPr>
      <w:r w:rsidRPr="0008103A">
        <w:t>Agenda item:</w:t>
      </w:r>
      <w:r>
        <w:tab/>
      </w:r>
      <w:r w:rsidR="00CF66FA">
        <w:t>7</w:t>
      </w:r>
      <w:r w:rsidR="00A255D6">
        <w:t>.</w:t>
      </w:r>
      <w:r w:rsidR="00F260A8">
        <w:t>6.3</w:t>
      </w:r>
    </w:p>
    <w:p w14:paraId="4DBE005A" w14:textId="32DE9276" w:rsidR="00D309CC" w:rsidRPr="0008103A" w:rsidRDefault="00D309CC" w:rsidP="00D309CC">
      <w:pPr>
        <w:pStyle w:val="CH"/>
        <w:rPr>
          <w:b w:val="0"/>
        </w:rPr>
      </w:pPr>
      <w:r>
        <w:t>Source:</w:t>
      </w:r>
      <w:r>
        <w:tab/>
        <w:t>Apple</w:t>
      </w:r>
    </w:p>
    <w:p w14:paraId="0D2061A1" w14:textId="7EBD0322" w:rsidR="00D309CC" w:rsidRDefault="00D309CC" w:rsidP="00112D80">
      <w:pPr>
        <w:pStyle w:val="CH"/>
        <w:ind w:left="2268" w:hanging="2268"/>
      </w:pPr>
      <w:r w:rsidRPr="0008103A">
        <w:t>Title:</w:t>
      </w:r>
      <w:r w:rsidRPr="0008103A">
        <w:tab/>
      </w:r>
      <w:r w:rsidR="00F260A8" w:rsidRPr="00F260A8">
        <w:t>On UE RF requirements for fragmented carriers</w:t>
      </w:r>
    </w:p>
    <w:p w14:paraId="2E4E044D" w14:textId="306BE6CD" w:rsidR="00D309CC" w:rsidRDefault="00D309CC" w:rsidP="00D309CC">
      <w:pPr>
        <w:pStyle w:val="CH"/>
      </w:pPr>
      <w:r>
        <w:t>Document for:</w:t>
      </w:r>
      <w:r>
        <w:tab/>
      </w:r>
      <w:r w:rsidR="00F538FE">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FAF02DD" w:rsidR="00650EB8" w:rsidRDefault="00650EB8" w:rsidP="001D69B8">
      <w:pPr>
        <w:pStyle w:val="B1"/>
        <w:overflowPunct w:val="0"/>
        <w:autoSpaceDE w:val="0"/>
        <w:autoSpaceDN w:val="0"/>
        <w:adjustRightInd w:val="0"/>
        <w:spacing w:before="180" w:after="180"/>
        <w:ind w:left="0" w:firstLine="0"/>
        <w:textAlignment w:val="baseline"/>
        <w:rPr>
          <w:sz w:val="20"/>
          <w:szCs w:val="20"/>
          <w:lang w:eastAsia="ja-JP"/>
        </w:rPr>
      </w:pPr>
      <w:r>
        <w:rPr>
          <w:noProof/>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 ;</w:t>
                            </w:r>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Pr>
          <w:sz w:val="20"/>
          <w:szCs w:val="20"/>
          <w:lang w:eastAsia="ja-JP"/>
        </w:rPr>
        <w:t>At RAN#104, a R19 SI on fragmented carriers was approved</w:t>
      </w:r>
      <w:r w:rsidR="00AF42F5">
        <w:rPr>
          <w:sz w:val="20"/>
          <w:szCs w:val="20"/>
          <w:lang w:eastAsia="ja-JP"/>
        </w:rPr>
        <w:t xml:space="preserve"> [1]</w:t>
      </w:r>
      <w:r>
        <w:rPr>
          <w:sz w:val="20"/>
          <w:szCs w:val="20"/>
          <w:lang w:eastAsia="ja-JP"/>
        </w:rPr>
        <w:t>, with the following objective:</w:t>
      </w:r>
    </w:p>
    <w:p w14:paraId="2F1C66C5" w14:textId="4F1A2199" w:rsidR="00B745B2" w:rsidRDefault="00EF45DD" w:rsidP="001D69B8">
      <w:pPr>
        <w:pStyle w:val="B1"/>
        <w:overflowPunct w:val="0"/>
        <w:autoSpaceDE w:val="0"/>
        <w:autoSpaceDN w:val="0"/>
        <w:adjustRightInd w:val="0"/>
        <w:spacing w:before="180" w:after="180"/>
        <w:ind w:left="0" w:firstLine="0"/>
        <w:textAlignment w:val="baseline"/>
        <w:rPr>
          <w:sz w:val="20"/>
          <w:szCs w:val="20"/>
        </w:rPr>
      </w:pPr>
      <w:r>
        <w:rPr>
          <w:sz w:val="20"/>
          <w:szCs w:val="20"/>
        </w:rPr>
        <w:t xml:space="preserve">At the last RAN4 meeting, a WF was agreed that captures the agreements and open issues [2]. In </w:t>
      </w:r>
      <w:r w:rsidR="00DD18AC">
        <w:rPr>
          <w:sz w:val="20"/>
          <w:szCs w:val="20"/>
        </w:rPr>
        <w:t xml:space="preserve">this contribution, we </w:t>
      </w:r>
      <w:r w:rsidR="00DA14D7">
        <w:rPr>
          <w:sz w:val="20"/>
          <w:szCs w:val="20"/>
        </w:rPr>
        <w:t xml:space="preserve">share our views on </w:t>
      </w:r>
      <w:r w:rsidR="00C52135">
        <w:rPr>
          <w:sz w:val="20"/>
          <w:szCs w:val="20"/>
        </w:rPr>
        <w:t>the open issues.</w:t>
      </w:r>
    </w:p>
    <w:p w14:paraId="42E3FB41" w14:textId="5877308A" w:rsidR="004C5265" w:rsidRPr="005037D3" w:rsidRDefault="008E7986" w:rsidP="005037D3">
      <w:pPr>
        <w:pStyle w:val="Heading1"/>
      </w:pPr>
      <w:r>
        <w:t>2</w:t>
      </w:r>
      <w:r>
        <w:tab/>
      </w:r>
      <w:r w:rsidR="0077432F">
        <w:t>Discussion</w:t>
      </w:r>
    </w:p>
    <w:p w14:paraId="1AE33D40" w14:textId="1AB172D4" w:rsidR="004E7F50" w:rsidRDefault="004E7F50" w:rsidP="00B10171">
      <w:pPr>
        <w:autoSpaceDE w:val="0"/>
        <w:autoSpaceDN w:val="0"/>
        <w:adjustRightInd w:val="0"/>
        <w:jc w:val="both"/>
        <w:rPr>
          <w:color w:val="000000"/>
          <w:sz w:val="20"/>
          <w:szCs w:val="20"/>
        </w:rPr>
      </w:pPr>
    </w:p>
    <w:p w14:paraId="7856ADC3" w14:textId="77777777" w:rsidR="007C7710" w:rsidRDefault="007C7710" w:rsidP="007C7710">
      <w:pPr>
        <w:autoSpaceDE w:val="0"/>
        <w:autoSpaceDN w:val="0"/>
        <w:adjustRightInd w:val="0"/>
        <w:jc w:val="both"/>
        <w:rPr>
          <w:b/>
          <w:bCs/>
          <w:color w:val="000000"/>
          <w:sz w:val="20"/>
          <w:szCs w:val="20"/>
          <w:u w:val="single"/>
        </w:rPr>
      </w:pPr>
      <w:r>
        <w:rPr>
          <w:b/>
          <w:bCs/>
          <w:color w:val="000000"/>
          <w:sz w:val="20"/>
          <w:szCs w:val="20"/>
          <w:u w:val="single"/>
        </w:rPr>
        <w:t>R</w:t>
      </w:r>
      <w:r w:rsidRPr="00DB0454">
        <w:rPr>
          <w:b/>
          <w:bCs/>
          <w:color w:val="000000"/>
          <w:sz w:val="20"/>
          <w:szCs w:val="20"/>
          <w:u w:val="single"/>
        </w:rPr>
        <w:t xml:space="preserve">equirements for </w:t>
      </w:r>
      <w:r>
        <w:rPr>
          <w:b/>
          <w:bCs/>
          <w:color w:val="000000"/>
          <w:sz w:val="20"/>
          <w:szCs w:val="20"/>
          <w:u w:val="single"/>
        </w:rPr>
        <w:t xml:space="preserve">UE supporting </w:t>
      </w:r>
      <w:r w:rsidRPr="00DB0454">
        <w:rPr>
          <w:b/>
          <w:bCs/>
          <w:color w:val="000000"/>
          <w:sz w:val="20"/>
          <w:szCs w:val="20"/>
          <w:u w:val="single"/>
        </w:rPr>
        <w:t>fragmented carriers</w:t>
      </w:r>
      <w:r>
        <w:rPr>
          <w:b/>
          <w:bCs/>
          <w:color w:val="000000"/>
          <w:sz w:val="20"/>
          <w:szCs w:val="20"/>
          <w:u w:val="single"/>
        </w:rPr>
        <w:t xml:space="preserve"> with shared RF chains</w:t>
      </w:r>
    </w:p>
    <w:p w14:paraId="30551B8F" w14:textId="77777777" w:rsidR="007C7710" w:rsidRDefault="007C7710" w:rsidP="007C7710">
      <w:pPr>
        <w:autoSpaceDE w:val="0"/>
        <w:autoSpaceDN w:val="0"/>
        <w:adjustRightInd w:val="0"/>
        <w:jc w:val="both"/>
        <w:rPr>
          <w:color w:val="000000"/>
          <w:sz w:val="20"/>
          <w:szCs w:val="20"/>
        </w:rPr>
      </w:pPr>
    </w:p>
    <w:p w14:paraId="4C0F113E" w14:textId="77777777" w:rsidR="007C7710" w:rsidRDefault="007C7710" w:rsidP="007C7710">
      <w:pPr>
        <w:autoSpaceDE w:val="0"/>
        <w:autoSpaceDN w:val="0"/>
        <w:adjustRightInd w:val="0"/>
        <w:jc w:val="both"/>
        <w:rPr>
          <w:color w:val="000000"/>
          <w:sz w:val="20"/>
          <w:szCs w:val="20"/>
        </w:rPr>
      </w:pPr>
      <w:r>
        <w:rPr>
          <w:color w:val="000000"/>
          <w:sz w:val="20"/>
          <w:szCs w:val="20"/>
        </w:rPr>
        <w:t>In the WF, the point on how to specify r</w:t>
      </w:r>
      <w:r w:rsidRPr="00DB0454">
        <w:rPr>
          <w:color w:val="000000"/>
          <w:sz w:val="20"/>
          <w:szCs w:val="20"/>
        </w:rPr>
        <w:t>equirements for UE supporting fragmented carriers with shared RF chains</w:t>
      </w:r>
      <w:r>
        <w:rPr>
          <w:color w:val="000000"/>
          <w:sz w:val="20"/>
          <w:szCs w:val="20"/>
        </w:rPr>
        <w:t xml:space="preserve"> is in brackets, as shown below</w:t>
      </w:r>
    </w:p>
    <w:p w14:paraId="79155E9F" w14:textId="77777777" w:rsidR="007C7710" w:rsidRDefault="007C7710" w:rsidP="007C7710">
      <w:pPr>
        <w:autoSpaceDE w:val="0"/>
        <w:autoSpaceDN w:val="0"/>
        <w:adjustRightInd w:val="0"/>
        <w:jc w:val="both"/>
        <w:rPr>
          <w:color w:val="000000"/>
          <w:sz w:val="20"/>
          <w:szCs w:val="20"/>
        </w:rPr>
      </w:pPr>
    </w:p>
    <w:tbl>
      <w:tblPr>
        <w:tblStyle w:val="TableGrid"/>
        <w:tblW w:w="0" w:type="auto"/>
        <w:tblLook w:val="04A0" w:firstRow="1" w:lastRow="0" w:firstColumn="1" w:lastColumn="0" w:noHBand="0" w:noVBand="1"/>
      </w:tblPr>
      <w:tblGrid>
        <w:gridCol w:w="9631"/>
      </w:tblGrid>
      <w:tr w:rsidR="007C7710" w14:paraId="68B54E9D" w14:textId="77777777" w:rsidTr="00B22E6A">
        <w:tc>
          <w:tcPr>
            <w:tcW w:w="9631" w:type="dxa"/>
          </w:tcPr>
          <w:p w14:paraId="43DBF791" w14:textId="77777777" w:rsidR="007C7710" w:rsidRPr="00DB0454" w:rsidRDefault="007C7710" w:rsidP="007C7710">
            <w:pPr>
              <w:pStyle w:val="ListParagraph"/>
              <w:numPr>
                <w:ilvl w:val="1"/>
                <w:numId w:val="36"/>
              </w:numPr>
              <w:autoSpaceDN w:val="0"/>
              <w:spacing w:after="120"/>
              <w:ind w:left="1440" w:hanging="360"/>
              <w:contextualSpacing w:val="0"/>
              <w:rPr>
                <w:rFonts w:eastAsia="Times New Roman"/>
              </w:rPr>
            </w:pPr>
            <w:r w:rsidRPr="00256DFE">
              <w:t>[Adjusted requirements for fragmented carriers, if any, shall be separated from the existing requirements]</w:t>
            </w:r>
          </w:p>
        </w:tc>
      </w:tr>
    </w:tbl>
    <w:p w14:paraId="0E95CE2E" w14:textId="77777777" w:rsidR="007C7710" w:rsidRDefault="007C7710" w:rsidP="007C7710">
      <w:pPr>
        <w:autoSpaceDE w:val="0"/>
        <w:autoSpaceDN w:val="0"/>
        <w:adjustRightInd w:val="0"/>
        <w:jc w:val="both"/>
        <w:rPr>
          <w:b/>
          <w:bCs/>
          <w:color w:val="000000"/>
          <w:sz w:val="20"/>
          <w:szCs w:val="20"/>
          <w:u w:val="single"/>
        </w:rPr>
      </w:pPr>
    </w:p>
    <w:p w14:paraId="241378D4" w14:textId="77777777" w:rsidR="007C7710" w:rsidRDefault="007C7710" w:rsidP="007C7710">
      <w:pPr>
        <w:autoSpaceDE w:val="0"/>
        <w:autoSpaceDN w:val="0"/>
        <w:adjustRightInd w:val="0"/>
        <w:jc w:val="both"/>
        <w:rPr>
          <w:color w:val="000000"/>
          <w:sz w:val="20"/>
          <w:szCs w:val="20"/>
        </w:rPr>
      </w:pPr>
      <w:r>
        <w:rPr>
          <w:color w:val="000000"/>
          <w:sz w:val="20"/>
          <w:szCs w:val="20"/>
        </w:rPr>
        <w:t xml:space="preserve">It is important to have a common understanding on it. As is well understood, the current RF requirements for intra-band non-contiguous CA were derived based on a </w:t>
      </w:r>
      <w:r w:rsidRPr="00C379C9">
        <w:rPr>
          <w:color w:val="000000"/>
          <w:sz w:val="20"/>
          <w:szCs w:val="20"/>
        </w:rPr>
        <w:t xml:space="preserve">partially shared RF chain architecture </w:t>
      </w:r>
      <w:r>
        <w:rPr>
          <w:color w:val="000000"/>
          <w:sz w:val="20"/>
          <w:szCs w:val="20"/>
        </w:rPr>
        <w:t xml:space="preserve">captured in </w:t>
      </w:r>
      <w:r w:rsidRPr="00C379C9">
        <w:rPr>
          <w:color w:val="000000"/>
          <w:sz w:val="20"/>
          <w:szCs w:val="20"/>
        </w:rPr>
        <w:t>TR 36.823</w:t>
      </w:r>
      <w:r>
        <w:rPr>
          <w:color w:val="000000"/>
          <w:sz w:val="20"/>
          <w:szCs w:val="20"/>
        </w:rPr>
        <w:t>. Given the blocker in the gap, it is evident that a shared RF chain architecture cannot meet such requirements. That is the reason why the SI scope explicitly contains the bullet “</w:t>
      </w:r>
      <w:r w:rsidRPr="00C379C9">
        <w:rPr>
          <w:color w:val="000000"/>
          <w:sz w:val="20"/>
          <w:szCs w:val="20"/>
        </w:rPr>
        <w:t>Which RF requirements could be adjusted for the inter-operator co-located BS scenario, e.g. existing UE RF requirements such as ΔR</w:t>
      </w:r>
      <w:r w:rsidRPr="00C379C9">
        <w:rPr>
          <w:color w:val="000000"/>
          <w:sz w:val="20"/>
          <w:szCs w:val="20"/>
          <w:vertAlign w:val="subscript"/>
        </w:rPr>
        <w:t>IBNC</w:t>
      </w:r>
      <w:r w:rsidRPr="00C379C9">
        <w:rPr>
          <w:color w:val="000000"/>
          <w:sz w:val="20"/>
          <w:szCs w:val="20"/>
        </w:rPr>
        <w:t>, ACS and in-band blocking</w:t>
      </w:r>
      <w:r>
        <w:rPr>
          <w:color w:val="000000"/>
          <w:sz w:val="20"/>
          <w:szCs w:val="20"/>
        </w:rPr>
        <w:t>.”</w:t>
      </w:r>
    </w:p>
    <w:p w14:paraId="1A0F26BF" w14:textId="77777777" w:rsidR="007C7710" w:rsidRDefault="007C7710" w:rsidP="007C7710">
      <w:pPr>
        <w:autoSpaceDE w:val="0"/>
        <w:autoSpaceDN w:val="0"/>
        <w:adjustRightInd w:val="0"/>
        <w:jc w:val="both"/>
        <w:rPr>
          <w:color w:val="000000"/>
          <w:sz w:val="20"/>
          <w:szCs w:val="20"/>
        </w:rPr>
      </w:pPr>
    </w:p>
    <w:p w14:paraId="524E3D09" w14:textId="77777777" w:rsidR="007C7710" w:rsidRDefault="007C7710" w:rsidP="007C7710">
      <w:pPr>
        <w:autoSpaceDE w:val="0"/>
        <w:autoSpaceDN w:val="0"/>
        <w:adjustRightInd w:val="0"/>
        <w:jc w:val="both"/>
        <w:rPr>
          <w:color w:val="000000"/>
          <w:sz w:val="20"/>
          <w:szCs w:val="20"/>
        </w:rPr>
      </w:pPr>
      <w:r>
        <w:rPr>
          <w:color w:val="000000"/>
          <w:sz w:val="20"/>
          <w:szCs w:val="20"/>
        </w:rPr>
        <w:t xml:space="preserve">To be clear, whatever the outcome of the SI is, the existing requirements should still apply to UEs using partially shared RF chain architecture to support fragmented carriers (or intra-band non-contiguous CA). With that, we think it is reasonable to say the adjusted requirements for </w:t>
      </w:r>
      <w:r w:rsidRPr="00DB0454">
        <w:rPr>
          <w:color w:val="000000"/>
          <w:sz w:val="20"/>
          <w:szCs w:val="20"/>
        </w:rPr>
        <w:t>UE supporting fragmented carriers with shared RF chains</w:t>
      </w:r>
      <w:r>
        <w:rPr>
          <w:color w:val="000000"/>
          <w:sz w:val="20"/>
          <w:szCs w:val="20"/>
        </w:rPr>
        <w:t xml:space="preserve"> should be separated from existing requirement. Of course, there should be a UE capability or other means to indicate such UEs.</w:t>
      </w:r>
    </w:p>
    <w:p w14:paraId="1E885F55" w14:textId="77777777" w:rsidR="007C7710" w:rsidRDefault="007C7710" w:rsidP="007C7710">
      <w:pPr>
        <w:autoSpaceDE w:val="0"/>
        <w:autoSpaceDN w:val="0"/>
        <w:adjustRightInd w:val="0"/>
        <w:jc w:val="both"/>
        <w:rPr>
          <w:color w:val="000000"/>
          <w:sz w:val="20"/>
          <w:szCs w:val="20"/>
        </w:rPr>
      </w:pPr>
    </w:p>
    <w:p w14:paraId="70BE0A48" w14:textId="77777777" w:rsidR="007C7710" w:rsidRDefault="007C7710" w:rsidP="007C7710">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I</w:t>
      </w:r>
      <w:r w:rsidRPr="009309ED">
        <w:rPr>
          <w:b/>
          <w:bCs/>
          <w:i/>
          <w:iCs/>
          <w:sz w:val="20"/>
          <w:szCs w:val="20"/>
        </w:rPr>
        <w:t>t is proposed to agree</w:t>
      </w:r>
      <w:r>
        <w:rPr>
          <w:b/>
          <w:bCs/>
          <w:i/>
          <w:iCs/>
          <w:sz w:val="20"/>
          <w:szCs w:val="20"/>
        </w:rPr>
        <w:t xml:space="preserve"> that a</w:t>
      </w:r>
      <w:r w:rsidRPr="009309ED">
        <w:rPr>
          <w:b/>
          <w:bCs/>
          <w:i/>
          <w:iCs/>
          <w:sz w:val="20"/>
          <w:szCs w:val="20"/>
        </w:rPr>
        <w:t xml:space="preserve">djusted requirements for </w:t>
      </w:r>
      <w:r>
        <w:rPr>
          <w:b/>
          <w:bCs/>
          <w:i/>
          <w:iCs/>
          <w:sz w:val="20"/>
          <w:szCs w:val="20"/>
        </w:rPr>
        <w:t xml:space="preserve">UEs supporting </w:t>
      </w:r>
      <w:r w:rsidRPr="009309ED">
        <w:rPr>
          <w:b/>
          <w:bCs/>
          <w:i/>
          <w:iCs/>
          <w:sz w:val="20"/>
          <w:szCs w:val="20"/>
        </w:rPr>
        <w:t>fragmented carriers</w:t>
      </w:r>
      <w:r>
        <w:rPr>
          <w:b/>
          <w:bCs/>
          <w:i/>
          <w:iCs/>
          <w:sz w:val="20"/>
          <w:szCs w:val="20"/>
        </w:rPr>
        <w:t xml:space="preserve"> with common RF chain architecture</w:t>
      </w:r>
      <w:r w:rsidRPr="009309ED">
        <w:rPr>
          <w:b/>
          <w:bCs/>
          <w:i/>
          <w:iCs/>
          <w:sz w:val="20"/>
          <w:szCs w:val="20"/>
        </w:rPr>
        <w:t>, if any, shall be separated from the existing requirements</w:t>
      </w:r>
      <w:r>
        <w:rPr>
          <w:b/>
          <w:bCs/>
          <w:i/>
          <w:iCs/>
          <w:sz w:val="20"/>
          <w:szCs w:val="20"/>
        </w:rPr>
        <w:t>. A TP is needed to capture this agreement in the TR.</w:t>
      </w:r>
    </w:p>
    <w:p w14:paraId="1F450A37" w14:textId="77777777" w:rsidR="007C7710" w:rsidRDefault="007C7710" w:rsidP="00B10171">
      <w:pPr>
        <w:autoSpaceDE w:val="0"/>
        <w:autoSpaceDN w:val="0"/>
        <w:adjustRightInd w:val="0"/>
        <w:jc w:val="both"/>
        <w:rPr>
          <w:color w:val="000000"/>
          <w:sz w:val="20"/>
          <w:szCs w:val="20"/>
        </w:rPr>
      </w:pPr>
    </w:p>
    <w:p w14:paraId="08928721" w14:textId="77777777" w:rsidR="007C7710" w:rsidRDefault="007C7710" w:rsidP="00B10171">
      <w:pPr>
        <w:autoSpaceDE w:val="0"/>
        <w:autoSpaceDN w:val="0"/>
        <w:adjustRightInd w:val="0"/>
        <w:jc w:val="both"/>
        <w:rPr>
          <w:color w:val="000000"/>
          <w:sz w:val="20"/>
          <w:szCs w:val="20"/>
        </w:rPr>
      </w:pPr>
    </w:p>
    <w:p w14:paraId="10D6F51A" w14:textId="057C8770" w:rsidR="00F04A63" w:rsidRPr="006A1291" w:rsidRDefault="00DF1E43" w:rsidP="00F04A63">
      <w:pPr>
        <w:autoSpaceDE w:val="0"/>
        <w:autoSpaceDN w:val="0"/>
        <w:adjustRightInd w:val="0"/>
        <w:jc w:val="both"/>
        <w:rPr>
          <w:b/>
          <w:bCs/>
          <w:color w:val="000000"/>
          <w:sz w:val="20"/>
          <w:szCs w:val="20"/>
          <w:u w:val="single"/>
        </w:rPr>
      </w:pPr>
      <w:r>
        <w:rPr>
          <w:b/>
          <w:bCs/>
          <w:color w:val="000000"/>
          <w:sz w:val="20"/>
          <w:szCs w:val="20"/>
          <w:u w:val="single"/>
        </w:rPr>
        <w:t>Receiver sensitivity</w:t>
      </w:r>
    </w:p>
    <w:p w14:paraId="2851E538" w14:textId="77777777" w:rsidR="00BA76F9" w:rsidRDefault="00BA76F9" w:rsidP="00F04A63">
      <w:pPr>
        <w:autoSpaceDE w:val="0"/>
        <w:autoSpaceDN w:val="0"/>
        <w:adjustRightInd w:val="0"/>
        <w:jc w:val="both"/>
        <w:rPr>
          <w:color w:val="000000"/>
          <w:sz w:val="20"/>
          <w:szCs w:val="20"/>
        </w:rPr>
      </w:pPr>
    </w:p>
    <w:p w14:paraId="2203226B" w14:textId="3062C540" w:rsidR="00C14737" w:rsidRDefault="00DF1E43" w:rsidP="00F04A63">
      <w:pPr>
        <w:autoSpaceDE w:val="0"/>
        <w:autoSpaceDN w:val="0"/>
        <w:adjustRightInd w:val="0"/>
        <w:jc w:val="both"/>
        <w:rPr>
          <w:color w:val="000000"/>
          <w:sz w:val="20"/>
          <w:szCs w:val="20"/>
        </w:rPr>
      </w:pPr>
      <w:r>
        <w:rPr>
          <w:color w:val="000000"/>
          <w:sz w:val="20"/>
          <w:szCs w:val="20"/>
        </w:rPr>
        <w:t>In c</w:t>
      </w:r>
      <w:r w:rsidRPr="00DF1E43">
        <w:rPr>
          <w:color w:val="000000"/>
          <w:sz w:val="20"/>
          <w:szCs w:val="20"/>
        </w:rPr>
        <w:t>urrent</w:t>
      </w:r>
      <w:r>
        <w:rPr>
          <w:color w:val="000000"/>
          <w:sz w:val="20"/>
          <w:szCs w:val="20"/>
        </w:rPr>
        <w:t xml:space="preserve"> CA receiver sensitivity requirement</w:t>
      </w:r>
      <w:r w:rsidRPr="00DF1E43">
        <w:rPr>
          <w:color w:val="000000"/>
          <w:sz w:val="20"/>
          <w:szCs w:val="20"/>
        </w:rPr>
        <w:t>, there is ΔR</w:t>
      </w:r>
      <w:r w:rsidRPr="00DF1E43">
        <w:rPr>
          <w:color w:val="000000"/>
          <w:sz w:val="20"/>
          <w:szCs w:val="20"/>
          <w:vertAlign w:val="subscript"/>
        </w:rPr>
        <w:t>IBNC</w:t>
      </w:r>
      <w:r w:rsidRPr="00DF1E43">
        <w:rPr>
          <w:color w:val="000000"/>
          <w:sz w:val="20"/>
          <w:szCs w:val="20"/>
        </w:rPr>
        <w:t xml:space="preserve"> to allow relaxation due to TX </w:t>
      </w:r>
      <w:r w:rsidR="00F3650D">
        <w:rPr>
          <w:color w:val="000000"/>
          <w:sz w:val="20"/>
          <w:szCs w:val="20"/>
        </w:rPr>
        <w:t>noise</w:t>
      </w:r>
      <w:r w:rsidRPr="00DF1E43">
        <w:rPr>
          <w:color w:val="000000"/>
          <w:sz w:val="20"/>
          <w:szCs w:val="20"/>
        </w:rPr>
        <w:t xml:space="preserve"> </w:t>
      </w:r>
      <w:r w:rsidR="00F3650D">
        <w:rPr>
          <w:color w:val="000000"/>
          <w:sz w:val="20"/>
          <w:szCs w:val="20"/>
        </w:rPr>
        <w:t xml:space="preserve">at RX band, i.e., TX noise at </w:t>
      </w:r>
      <w:r w:rsidRPr="00DF1E43">
        <w:rPr>
          <w:color w:val="000000"/>
          <w:sz w:val="20"/>
          <w:szCs w:val="20"/>
        </w:rPr>
        <w:t>SCC</w:t>
      </w:r>
      <w:r w:rsidR="00AF42F5">
        <w:rPr>
          <w:color w:val="000000"/>
          <w:sz w:val="20"/>
          <w:szCs w:val="20"/>
        </w:rPr>
        <w:t>, which assumes UE architecture of separate RF chain</w:t>
      </w:r>
      <w:r w:rsidR="00E32E87">
        <w:rPr>
          <w:color w:val="000000"/>
          <w:sz w:val="20"/>
          <w:szCs w:val="20"/>
        </w:rPr>
        <w:t>s</w:t>
      </w:r>
      <w:r w:rsidRPr="00DF1E43">
        <w:rPr>
          <w:color w:val="000000"/>
          <w:sz w:val="20"/>
          <w:szCs w:val="20"/>
        </w:rPr>
        <w:t>.</w:t>
      </w:r>
      <w:r w:rsidR="00AF42F5">
        <w:rPr>
          <w:color w:val="000000"/>
          <w:sz w:val="20"/>
          <w:szCs w:val="20"/>
        </w:rPr>
        <w:t xml:space="preserve"> </w:t>
      </w:r>
    </w:p>
    <w:p w14:paraId="1BF67B04" w14:textId="77777777" w:rsidR="00C14737" w:rsidRDefault="00C14737" w:rsidP="00F04A63">
      <w:pPr>
        <w:autoSpaceDE w:val="0"/>
        <w:autoSpaceDN w:val="0"/>
        <w:adjustRightInd w:val="0"/>
        <w:jc w:val="both"/>
        <w:rPr>
          <w:color w:val="000000"/>
          <w:sz w:val="20"/>
          <w:szCs w:val="20"/>
        </w:rPr>
      </w:pPr>
    </w:p>
    <w:p w14:paraId="19D3B472" w14:textId="77777777" w:rsidR="00C14737" w:rsidRDefault="00C14737" w:rsidP="00F04A63">
      <w:pPr>
        <w:autoSpaceDE w:val="0"/>
        <w:autoSpaceDN w:val="0"/>
        <w:adjustRightInd w:val="0"/>
        <w:jc w:val="both"/>
        <w:rPr>
          <w:color w:val="000000"/>
          <w:sz w:val="20"/>
          <w:szCs w:val="20"/>
        </w:rPr>
      </w:pPr>
    </w:p>
    <w:p w14:paraId="7627A78A" w14:textId="2FAAE7EB" w:rsidR="00C14737" w:rsidRDefault="00C14737" w:rsidP="003C208D">
      <w:pPr>
        <w:autoSpaceDE w:val="0"/>
        <w:autoSpaceDN w:val="0"/>
        <w:adjustRightInd w:val="0"/>
        <w:jc w:val="center"/>
        <w:rPr>
          <w:color w:val="000000"/>
          <w:sz w:val="20"/>
          <w:szCs w:val="20"/>
        </w:rPr>
      </w:pPr>
      <w:r w:rsidRPr="00C14737">
        <w:rPr>
          <w:noProof/>
          <w:color w:val="000000"/>
          <w:sz w:val="20"/>
          <w:szCs w:val="20"/>
        </w:rPr>
        <w:drawing>
          <wp:inline distT="0" distB="0" distL="0" distR="0" wp14:anchorId="4A8FDF10" wp14:editId="54223039">
            <wp:extent cx="4761914" cy="4894286"/>
            <wp:effectExtent l="0" t="0" r="635" b="0"/>
            <wp:docPr id="629585476" name="Picture 1" descr="A white sheet of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585476" name="Picture 1" descr="A white sheet of paper with black text&#10;&#10;Description automatically generated"/>
                    <pic:cNvPicPr/>
                  </pic:nvPicPr>
                  <pic:blipFill>
                    <a:blip r:embed="rId9"/>
                    <a:stretch>
                      <a:fillRect/>
                    </a:stretch>
                  </pic:blipFill>
                  <pic:spPr>
                    <a:xfrm>
                      <a:off x="0" y="0"/>
                      <a:ext cx="4800964" cy="4934422"/>
                    </a:xfrm>
                    <a:prstGeom prst="rect">
                      <a:avLst/>
                    </a:prstGeom>
                  </pic:spPr>
                </pic:pic>
              </a:graphicData>
            </a:graphic>
          </wp:inline>
        </w:drawing>
      </w:r>
    </w:p>
    <w:p w14:paraId="43F488A6" w14:textId="77777777" w:rsidR="00C14737" w:rsidRDefault="00C14737" w:rsidP="00F04A63">
      <w:pPr>
        <w:autoSpaceDE w:val="0"/>
        <w:autoSpaceDN w:val="0"/>
        <w:adjustRightInd w:val="0"/>
        <w:jc w:val="both"/>
        <w:rPr>
          <w:color w:val="000000"/>
          <w:sz w:val="20"/>
          <w:szCs w:val="20"/>
        </w:rPr>
      </w:pPr>
    </w:p>
    <w:p w14:paraId="6E2E2713" w14:textId="77777777" w:rsidR="00C14737" w:rsidRDefault="00C14737" w:rsidP="00F04A63">
      <w:pPr>
        <w:autoSpaceDE w:val="0"/>
        <w:autoSpaceDN w:val="0"/>
        <w:adjustRightInd w:val="0"/>
        <w:jc w:val="both"/>
        <w:rPr>
          <w:color w:val="000000"/>
          <w:sz w:val="20"/>
          <w:szCs w:val="20"/>
        </w:rPr>
      </w:pPr>
    </w:p>
    <w:p w14:paraId="4B46EFFE" w14:textId="4B92A1C4" w:rsidR="00AF42F5" w:rsidRDefault="00AF42F5" w:rsidP="00F04A63">
      <w:pPr>
        <w:autoSpaceDE w:val="0"/>
        <w:autoSpaceDN w:val="0"/>
        <w:adjustRightInd w:val="0"/>
        <w:jc w:val="both"/>
        <w:rPr>
          <w:color w:val="000000"/>
          <w:sz w:val="20"/>
          <w:szCs w:val="20"/>
        </w:rPr>
      </w:pPr>
      <w:r>
        <w:rPr>
          <w:color w:val="000000"/>
          <w:sz w:val="20"/>
          <w:szCs w:val="20"/>
        </w:rPr>
        <w:t xml:space="preserve">Fig. </w:t>
      </w:r>
      <w:r w:rsidR="0043539B">
        <w:rPr>
          <w:color w:val="000000"/>
          <w:sz w:val="20"/>
          <w:szCs w:val="20"/>
        </w:rPr>
        <w:t>1</w:t>
      </w:r>
      <w:r>
        <w:rPr>
          <w:color w:val="000000"/>
          <w:sz w:val="20"/>
          <w:szCs w:val="20"/>
        </w:rPr>
        <w:t xml:space="preserve"> below (copied from [</w:t>
      </w:r>
      <w:r w:rsidR="00B826B2">
        <w:rPr>
          <w:color w:val="000000"/>
          <w:sz w:val="20"/>
          <w:szCs w:val="20"/>
        </w:rPr>
        <w:t>3</w:t>
      </w:r>
      <w:r>
        <w:rPr>
          <w:color w:val="000000"/>
          <w:sz w:val="20"/>
          <w:szCs w:val="20"/>
        </w:rPr>
        <w:t>]) shows for CA_n25(2A), PCC</w:t>
      </w:r>
      <w:r w:rsidR="005C30C1">
        <w:rPr>
          <w:color w:val="000000"/>
          <w:sz w:val="20"/>
          <w:szCs w:val="20"/>
        </w:rPr>
        <w:t xml:space="preserve"> UL</w:t>
      </w:r>
      <w:r>
        <w:rPr>
          <w:color w:val="000000"/>
          <w:sz w:val="20"/>
          <w:szCs w:val="20"/>
        </w:rPr>
        <w:t xml:space="preserve"> is closer to SCC in the CA receiver sensitivity requirement setting than the usual TX and RX in a single carrier case. </w:t>
      </w:r>
    </w:p>
    <w:p w14:paraId="54F818A3" w14:textId="77777777" w:rsidR="00AF42F5" w:rsidRDefault="00AF42F5" w:rsidP="00F04A63">
      <w:pPr>
        <w:autoSpaceDE w:val="0"/>
        <w:autoSpaceDN w:val="0"/>
        <w:adjustRightInd w:val="0"/>
        <w:jc w:val="both"/>
        <w:rPr>
          <w:color w:val="000000"/>
          <w:sz w:val="20"/>
          <w:szCs w:val="20"/>
        </w:rPr>
      </w:pPr>
    </w:p>
    <w:p w14:paraId="4B866CA6" w14:textId="68908157" w:rsidR="00AF42F5" w:rsidRDefault="00AF42F5" w:rsidP="00AF42F5">
      <w:pPr>
        <w:autoSpaceDE w:val="0"/>
        <w:autoSpaceDN w:val="0"/>
        <w:adjustRightInd w:val="0"/>
        <w:jc w:val="center"/>
        <w:rPr>
          <w:color w:val="000000"/>
          <w:sz w:val="20"/>
          <w:szCs w:val="20"/>
        </w:rPr>
      </w:pPr>
      <w:r>
        <w:rPr>
          <w:rFonts w:hint="eastAsia"/>
          <w:noProof/>
          <w:lang w:val="sv-SE"/>
        </w:rPr>
        <w:drawing>
          <wp:inline distT="0" distB="0" distL="0" distR="0" wp14:anchorId="0ABED607" wp14:editId="562581D7">
            <wp:extent cx="4338320" cy="1060489"/>
            <wp:effectExtent l="0" t="0" r="5080" b="6350"/>
            <wp:docPr id="3" name="图片 3" descr="C:\Users\g00334960\AppData\Local\Microsoft\Windows\INetCache\Content.MSO\9669F97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00334960\AppData\Local\Microsoft\Windows\INetCache\Content.MSO\9669F977.tmp"/>
                    <pic:cNvPicPr>
                      <a:picLocks noChangeAspect="1" noChangeArrowheads="1"/>
                    </pic:cNvPicPr>
                  </pic:nvPicPr>
                  <pic:blipFill>
                    <a:blip r:embed="rId1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364269" cy="1066832"/>
                    </a:xfrm>
                    <a:prstGeom prst="rect">
                      <a:avLst/>
                    </a:prstGeom>
                    <a:noFill/>
                    <a:ln>
                      <a:noFill/>
                    </a:ln>
                  </pic:spPr>
                </pic:pic>
              </a:graphicData>
            </a:graphic>
          </wp:inline>
        </w:drawing>
      </w:r>
    </w:p>
    <w:p w14:paraId="32785AC8" w14:textId="77777777" w:rsidR="00AF42F5" w:rsidRDefault="00AF42F5" w:rsidP="00F04A63">
      <w:pPr>
        <w:autoSpaceDE w:val="0"/>
        <w:autoSpaceDN w:val="0"/>
        <w:adjustRightInd w:val="0"/>
        <w:jc w:val="both"/>
        <w:rPr>
          <w:color w:val="000000"/>
          <w:sz w:val="20"/>
          <w:szCs w:val="20"/>
        </w:rPr>
      </w:pPr>
    </w:p>
    <w:p w14:paraId="5E3FD795" w14:textId="20F9611A" w:rsidR="00AF42F5" w:rsidRPr="00AE03D3" w:rsidRDefault="00AF42F5" w:rsidP="00AF42F5">
      <w:pPr>
        <w:spacing w:before="100" w:beforeAutospacing="1" w:after="100"/>
        <w:jc w:val="center"/>
        <w:rPr>
          <w:b/>
          <w:bCs/>
          <w:sz w:val="20"/>
          <w:szCs w:val="20"/>
        </w:rPr>
      </w:pPr>
      <w:r w:rsidRPr="00AE03D3">
        <w:rPr>
          <w:b/>
          <w:bCs/>
          <w:sz w:val="20"/>
          <w:szCs w:val="20"/>
        </w:rPr>
        <w:t xml:space="preserve">Figure </w:t>
      </w:r>
      <w:r w:rsidR="0043539B">
        <w:rPr>
          <w:b/>
          <w:bCs/>
          <w:sz w:val="20"/>
          <w:szCs w:val="20"/>
        </w:rPr>
        <w:t>1</w:t>
      </w:r>
      <w:r w:rsidRPr="00AE03D3">
        <w:rPr>
          <w:b/>
          <w:bCs/>
          <w:sz w:val="20"/>
          <w:szCs w:val="20"/>
        </w:rPr>
        <w:t xml:space="preserve">. </w:t>
      </w:r>
      <w:r>
        <w:rPr>
          <w:b/>
          <w:bCs/>
          <w:sz w:val="20"/>
          <w:szCs w:val="20"/>
        </w:rPr>
        <w:t>CA receiver sensitivity setting for band n25</w:t>
      </w:r>
    </w:p>
    <w:p w14:paraId="768E4503" w14:textId="77777777" w:rsidR="00AF42F5" w:rsidRDefault="00AF42F5" w:rsidP="00F04A63">
      <w:pPr>
        <w:autoSpaceDE w:val="0"/>
        <w:autoSpaceDN w:val="0"/>
        <w:adjustRightInd w:val="0"/>
        <w:jc w:val="both"/>
        <w:rPr>
          <w:color w:val="000000"/>
          <w:sz w:val="20"/>
          <w:szCs w:val="20"/>
        </w:rPr>
      </w:pPr>
    </w:p>
    <w:p w14:paraId="05E057F3" w14:textId="59E6ADD8" w:rsidR="00AF42F5" w:rsidRDefault="00F3650D" w:rsidP="00F04A63">
      <w:pPr>
        <w:autoSpaceDE w:val="0"/>
        <w:autoSpaceDN w:val="0"/>
        <w:adjustRightInd w:val="0"/>
        <w:jc w:val="both"/>
        <w:rPr>
          <w:color w:val="000000"/>
          <w:sz w:val="20"/>
          <w:szCs w:val="20"/>
        </w:rPr>
      </w:pPr>
      <w:r>
        <w:rPr>
          <w:color w:val="000000"/>
          <w:sz w:val="20"/>
          <w:szCs w:val="20"/>
        </w:rPr>
        <w:t>With common RF chain architecture, the TX noise at SCC from the PCC remains the same as the analog BB filter cannot provide any help. However, besides TX noise, there is TX leakage at TX band that may benefit from analog filtering</w:t>
      </w:r>
      <w:r w:rsidR="0042630D">
        <w:rPr>
          <w:color w:val="000000"/>
          <w:sz w:val="20"/>
          <w:szCs w:val="20"/>
        </w:rPr>
        <w:t xml:space="preserve"> before it goes into digital BB.</w:t>
      </w:r>
      <w:r>
        <w:rPr>
          <w:color w:val="000000"/>
          <w:sz w:val="20"/>
          <w:szCs w:val="20"/>
        </w:rPr>
        <w:t xml:space="preserve"> </w:t>
      </w:r>
      <w:r w:rsidR="0042630D">
        <w:rPr>
          <w:color w:val="000000"/>
          <w:sz w:val="20"/>
          <w:szCs w:val="20"/>
        </w:rPr>
        <w:t xml:space="preserve">In this case, since </w:t>
      </w:r>
      <w:r w:rsidR="003B662D">
        <w:rPr>
          <w:color w:val="000000"/>
          <w:sz w:val="20"/>
          <w:szCs w:val="20"/>
        </w:rPr>
        <w:t>common RF chain architecture uses a wide analog BB filter to cover the overall frequency span from the lower edge of CC1 to the upper edge of CC2, as compared to the separate RF chain architecture where two separate narrow BB filters to cover CC1 and CC2</w:t>
      </w:r>
      <w:r w:rsidR="0042630D">
        <w:rPr>
          <w:color w:val="000000"/>
          <w:sz w:val="20"/>
          <w:szCs w:val="20"/>
        </w:rPr>
        <w:t>, there is less filter rejection</w:t>
      </w:r>
      <w:r w:rsidR="003B662D">
        <w:rPr>
          <w:color w:val="000000"/>
          <w:sz w:val="20"/>
          <w:szCs w:val="20"/>
        </w:rPr>
        <w:t xml:space="preserve">. As a result, </w:t>
      </w:r>
      <w:r w:rsidR="00753F44">
        <w:rPr>
          <w:color w:val="000000"/>
          <w:sz w:val="20"/>
          <w:szCs w:val="20"/>
        </w:rPr>
        <w:t xml:space="preserve">the SCC performance may take some hit. This performance hit is expected to be less severe than the TX noise at SCC. More detailed analysis is needed to quantize the SCC performance degradation. </w:t>
      </w:r>
    </w:p>
    <w:p w14:paraId="0C4A3BC9" w14:textId="77777777" w:rsidR="004E6F6A" w:rsidRDefault="004E6F6A" w:rsidP="00F04A63">
      <w:pPr>
        <w:autoSpaceDE w:val="0"/>
        <w:autoSpaceDN w:val="0"/>
        <w:adjustRightInd w:val="0"/>
        <w:jc w:val="both"/>
        <w:rPr>
          <w:color w:val="000000"/>
          <w:sz w:val="20"/>
          <w:szCs w:val="20"/>
        </w:rPr>
      </w:pPr>
    </w:p>
    <w:p w14:paraId="17FD119A" w14:textId="350FAB20" w:rsidR="004E6F6A" w:rsidRDefault="004E6F6A" w:rsidP="00F04A63">
      <w:pPr>
        <w:autoSpaceDE w:val="0"/>
        <w:autoSpaceDN w:val="0"/>
        <w:adjustRightInd w:val="0"/>
        <w:jc w:val="both"/>
        <w:rPr>
          <w:color w:val="000000"/>
          <w:sz w:val="20"/>
          <w:szCs w:val="20"/>
        </w:rPr>
      </w:pPr>
      <w:r>
        <w:rPr>
          <w:color w:val="000000"/>
          <w:sz w:val="20"/>
          <w:szCs w:val="20"/>
        </w:rPr>
        <w:t xml:space="preserve">In addition, we </w:t>
      </w:r>
      <w:r w:rsidR="005C30C1">
        <w:rPr>
          <w:color w:val="000000"/>
          <w:sz w:val="20"/>
          <w:szCs w:val="20"/>
        </w:rPr>
        <w:t xml:space="preserve">would like to propose to apply some relaxation like </w:t>
      </w:r>
      <w:r w:rsidR="005C30C1" w:rsidRPr="00DF1E43">
        <w:rPr>
          <w:color w:val="000000"/>
          <w:sz w:val="20"/>
          <w:szCs w:val="20"/>
        </w:rPr>
        <w:t>ΔR</w:t>
      </w:r>
      <w:r w:rsidR="005C30C1" w:rsidRPr="00DF1E43">
        <w:rPr>
          <w:color w:val="000000"/>
          <w:sz w:val="20"/>
          <w:szCs w:val="20"/>
          <w:vertAlign w:val="subscript"/>
        </w:rPr>
        <w:t>IBNC</w:t>
      </w:r>
      <w:r w:rsidR="005C30C1" w:rsidRPr="005C30C1">
        <w:rPr>
          <w:color w:val="000000"/>
          <w:sz w:val="20"/>
          <w:szCs w:val="20"/>
        </w:rPr>
        <w:t xml:space="preserve"> </w:t>
      </w:r>
      <w:r w:rsidR="005C30C1">
        <w:rPr>
          <w:color w:val="000000"/>
          <w:sz w:val="20"/>
          <w:szCs w:val="20"/>
        </w:rPr>
        <w:t xml:space="preserve">for </w:t>
      </w:r>
      <w:r w:rsidR="005C30C1" w:rsidRPr="005C30C1">
        <w:rPr>
          <w:color w:val="000000"/>
          <w:sz w:val="20"/>
          <w:szCs w:val="20"/>
        </w:rPr>
        <w:t>PCC</w:t>
      </w:r>
      <w:r w:rsidR="005C30C1">
        <w:rPr>
          <w:color w:val="000000"/>
          <w:sz w:val="20"/>
          <w:szCs w:val="20"/>
        </w:rPr>
        <w:t xml:space="preserve"> receiver sensitivity</w:t>
      </w:r>
      <w:r w:rsidR="005C30C1" w:rsidRPr="005C30C1">
        <w:rPr>
          <w:color w:val="000000"/>
          <w:sz w:val="20"/>
          <w:szCs w:val="20"/>
        </w:rPr>
        <w:t xml:space="preserve">. </w:t>
      </w:r>
      <w:r w:rsidR="005C30C1">
        <w:rPr>
          <w:color w:val="000000"/>
          <w:sz w:val="20"/>
          <w:szCs w:val="20"/>
        </w:rPr>
        <w:t xml:space="preserve">This is because after the down-conversion, </w:t>
      </w:r>
      <w:r w:rsidR="00B13F54">
        <w:rPr>
          <w:color w:val="000000"/>
          <w:sz w:val="20"/>
          <w:szCs w:val="20"/>
        </w:rPr>
        <w:t>the mirror frequency of PCC UL would be close to PCC DL and become a blocker. W</w:t>
      </w:r>
      <w:r w:rsidR="005C30C1" w:rsidRPr="005C30C1">
        <w:rPr>
          <w:color w:val="000000"/>
          <w:sz w:val="20"/>
          <w:szCs w:val="20"/>
        </w:rPr>
        <w:t xml:space="preserve">ith the </w:t>
      </w:r>
      <w:r w:rsidR="00B13F54">
        <w:rPr>
          <w:color w:val="000000"/>
          <w:sz w:val="20"/>
          <w:szCs w:val="20"/>
        </w:rPr>
        <w:t xml:space="preserve">wider analog BB filtering </w:t>
      </w:r>
      <w:r w:rsidR="005C30C1" w:rsidRPr="005C30C1">
        <w:rPr>
          <w:color w:val="000000"/>
          <w:sz w:val="20"/>
          <w:szCs w:val="20"/>
        </w:rPr>
        <w:t>covering PCC and SCC</w:t>
      </w:r>
      <w:r w:rsidR="00B13F54">
        <w:rPr>
          <w:color w:val="000000"/>
          <w:sz w:val="20"/>
          <w:szCs w:val="20"/>
        </w:rPr>
        <w:t xml:space="preserve">, the filter rejection is reduced compared to </w:t>
      </w:r>
      <w:r w:rsidR="005C30C1" w:rsidRPr="005C30C1">
        <w:rPr>
          <w:color w:val="000000"/>
          <w:sz w:val="20"/>
          <w:szCs w:val="20"/>
        </w:rPr>
        <w:t>single-CC narrowband filtering.</w:t>
      </w:r>
    </w:p>
    <w:p w14:paraId="7D119E78" w14:textId="77777777" w:rsidR="003B662D" w:rsidRDefault="003B662D" w:rsidP="00F04A63">
      <w:pPr>
        <w:autoSpaceDE w:val="0"/>
        <w:autoSpaceDN w:val="0"/>
        <w:adjustRightInd w:val="0"/>
        <w:jc w:val="both"/>
        <w:rPr>
          <w:color w:val="000000"/>
          <w:sz w:val="20"/>
          <w:szCs w:val="20"/>
        </w:rPr>
      </w:pPr>
    </w:p>
    <w:p w14:paraId="7A5B3A90" w14:textId="2D8F6A38" w:rsidR="003B662D" w:rsidRDefault="003B662D" w:rsidP="003B662D">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2</w:t>
      </w:r>
      <w:r w:rsidRPr="004E0E90">
        <w:rPr>
          <w:b/>
          <w:bCs/>
          <w:i/>
          <w:iCs/>
          <w:sz w:val="20"/>
          <w:szCs w:val="20"/>
        </w:rPr>
        <w:t xml:space="preserve">: </w:t>
      </w:r>
      <w:r w:rsidR="001D0D15" w:rsidRPr="001D0D15">
        <w:rPr>
          <w:b/>
          <w:bCs/>
          <w:i/>
          <w:iCs/>
          <w:sz w:val="20"/>
          <w:szCs w:val="20"/>
        </w:rPr>
        <w:t>ΔR</w:t>
      </w:r>
      <w:r w:rsidR="001D0D15" w:rsidRPr="001D0D15">
        <w:rPr>
          <w:b/>
          <w:bCs/>
          <w:i/>
          <w:iCs/>
          <w:sz w:val="20"/>
          <w:szCs w:val="20"/>
          <w:vertAlign w:val="subscript"/>
        </w:rPr>
        <w:t>IBNC</w:t>
      </w:r>
      <w:r w:rsidR="001D0D15" w:rsidRPr="001D0D15">
        <w:rPr>
          <w:b/>
          <w:bCs/>
          <w:i/>
          <w:iCs/>
          <w:sz w:val="20"/>
          <w:szCs w:val="20"/>
        </w:rPr>
        <w:t xml:space="preserve"> </w:t>
      </w:r>
      <w:r w:rsidR="00B13F54">
        <w:rPr>
          <w:b/>
          <w:bCs/>
          <w:i/>
          <w:iCs/>
          <w:sz w:val="20"/>
          <w:szCs w:val="20"/>
        </w:rPr>
        <w:t xml:space="preserve">for SCC </w:t>
      </w:r>
      <w:r w:rsidR="00753F44">
        <w:rPr>
          <w:b/>
          <w:bCs/>
          <w:i/>
          <w:iCs/>
          <w:sz w:val="20"/>
          <w:szCs w:val="20"/>
        </w:rPr>
        <w:t xml:space="preserve">may </w:t>
      </w:r>
      <w:r w:rsidR="001D0D15" w:rsidRPr="001D0D15">
        <w:rPr>
          <w:b/>
          <w:bCs/>
          <w:i/>
          <w:iCs/>
          <w:sz w:val="20"/>
          <w:szCs w:val="20"/>
        </w:rPr>
        <w:t>need to be updated to reflect the filter rejection reduction of common RF chain compared to separate RF chains</w:t>
      </w:r>
      <w:r w:rsidR="001D0D15">
        <w:rPr>
          <w:b/>
          <w:bCs/>
          <w:i/>
          <w:iCs/>
          <w:sz w:val="20"/>
          <w:szCs w:val="20"/>
        </w:rPr>
        <w:t xml:space="preserve"> for each</w:t>
      </w:r>
      <w:r w:rsidR="001D0D15" w:rsidRPr="001D0D15">
        <w:rPr>
          <w:b/>
          <w:bCs/>
          <w:i/>
          <w:iCs/>
          <w:sz w:val="20"/>
          <w:szCs w:val="20"/>
        </w:rPr>
        <w:t xml:space="preserve"> intra-band non-contiguous CA band combination</w:t>
      </w:r>
      <w:r w:rsidR="001613D8">
        <w:rPr>
          <w:b/>
          <w:bCs/>
          <w:i/>
          <w:iCs/>
          <w:sz w:val="20"/>
          <w:szCs w:val="20"/>
        </w:rPr>
        <w:t>.</w:t>
      </w:r>
      <w:r w:rsidR="00B13F54">
        <w:rPr>
          <w:b/>
          <w:bCs/>
          <w:i/>
          <w:iCs/>
          <w:sz w:val="20"/>
          <w:szCs w:val="20"/>
        </w:rPr>
        <w:t xml:space="preserve"> Furthermore, </w:t>
      </w:r>
      <w:r w:rsidR="00B13F54" w:rsidRPr="001D0D15">
        <w:rPr>
          <w:b/>
          <w:bCs/>
          <w:i/>
          <w:iCs/>
          <w:sz w:val="20"/>
          <w:szCs w:val="20"/>
        </w:rPr>
        <w:t>ΔR</w:t>
      </w:r>
      <w:r w:rsidR="00B13F54" w:rsidRPr="001D0D15">
        <w:rPr>
          <w:b/>
          <w:bCs/>
          <w:i/>
          <w:iCs/>
          <w:sz w:val="20"/>
          <w:szCs w:val="20"/>
          <w:vertAlign w:val="subscript"/>
        </w:rPr>
        <w:t>IBNC</w:t>
      </w:r>
      <w:r w:rsidR="00B13F54">
        <w:rPr>
          <w:b/>
          <w:bCs/>
          <w:i/>
          <w:iCs/>
          <w:sz w:val="20"/>
          <w:szCs w:val="20"/>
        </w:rPr>
        <w:t xml:space="preserve"> needs to appl</w:t>
      </w:r>
      <w:r w:rsidR="006043ED">
        <w:rPr>
          <w:b/>
          <w:bCs/>
          <w:i/>
          <w:iCs/>
          <w:sz w:val="20"/>
          <w:szCs w:val="20"/>
        </w:rPr>
        <w:t>y</w:t>
      </w:r>
      <w:r w:rsidR="00B13F54">
        <w:rPr>
          <w:b/>
          <w:bCs/>
          <w:i/>
          <w:iCs/>
          <w:sz w:val="20"/>
          <w:szCs w:val="20"/>
        </w:rPr>
        <w:t xml:space="preserve"> to PCC too, although the value of </w:t>
      </w:r>
      <w:r w:rsidR="00B13F54" w:rsidRPr="001D0D15">
        <w:rPr>
          <w:b/>
          <w:bCs/>
          <w:i/>
          <w:iCs/>
          <w:sz w:val="20"/>
          <w:szCs w:val="20"/>
        </w:rPr>
        <w:t>ΔR</w:t>
      </w:r>
      <w:r w:rsidR="00B13F54" w:rsidRPr="001D0D15">
        <w:rPr>
          <w:b/>
          <w:bCs/>
          <w:i/>
          <w:iCs/>
          <w:sz w:val="20"/>
          <w:szCs w:val="20"/>
          <w:vertAlign w:val="subscript"/>
        </w:rPr>
        <w:t>IBNC</w:t>
      </w:r>
      <w:r w:rsidR="00B13F54">
        <w:rPr>
          <w:b/>
          <w:bCs/>
          <w:i/>
          <w:iCs/>
          <w:sz w:val="20"/>
          <w:szCs w:val="20"/>
        </w:rPr>
        <w:t xml:space="preserve"> can be different for PCC and SCC.  </w:t>
      </w:r>
    </w:p>
    <w:p w14:paraId="25DEB8A3" w14:textId="77777777" w:rsidR="003B662D" w:rsidRDefault="003B662D" w:rsidP="00F04A63">
      <w:pPr>
        <w:autoSpaceDE w:val="0"/>
        <w:autoSpaceDN w:val="0"/>
        <w:adjustRightInd w:val="0"/>
        <w:jc w:val="both"/>
        <w:rPr>
          <w:color w:val="000000"/>
          <w:sz w:val="20"/>
          <w:szCs w:val="20"/>
        </w:rPr>
      </w:pPr>
    </w:p>
    <w:p w14:paraId="497E7BFD" w14:textId="77777777" w:rsidR="00DF259E" w:rsidRDefault="00DF259E" w:rsidP="00F04A63">
      <w:pPr>
        <w:autoSpaceDE w:val="0"/>
        <w:autoSpaceDN w:val="0"/>
        <w:adjustRightInd w:val="0"/>
        <w:jc w:val="both"/>
        <w:rPr>
          <w:color w:val="000000"/>
          <w:sz w:val="20"/>
          <w:szCs w:val="20"/>
        </w:rPr>
      </w:pPr>
    </w:p>
    <w:p w14:paraId="61C6691B" w14:textId="284B10CD" w:rsidR="00DF259E" w:rsidRPr="006A1291" w:rsidRDefault="00931E75" w:rsidP="00DF259E">
      <w:pPr>
        <w:autoSpaceDE w:val="0"/>
        <w:autoSpaceDN w:val="0"/>
        <w:adjustRightInd w:val="0"/>
        <w:jc w:val="both"/>
        <w:rPr>
          <w:b/>
          <w:bCs/>
          <w:color w:val="000000"/>
          <w:sz w:val="20"/>
          <w:szCs w:val="20"/>
          <w:u w:val="single"/>
        </w:rPr>
      </w:pPr>
      <w:r>
        <w:rPr>
          <w:b/>
          <w:bCs/>
          <w:color w:val="000000"/>
          <w:sz w:val="20"/>
          <w:szCs w:val="20"/>
          <w:u w:val="single"/>
        </w:rPr>
        <w:t>In-gap b</w:t>
      </w:r>
      <w:r w:rsidR="00DF259E">
        <w:rPr>
          <w:b/>
          <w:bCs/>
          <w:color w:val="000000"/>
          <w:sz w:val="20"/>
          <w:szCs w:val="20"/>
          <w:u w:val="single"/>
        </w:rPr>
        <w:t>locker power level</w:t>
      </w:r>
    </w:p>
    <w:p w14:paraId="6C52756D" w14:textId="77777777" w:rsidR="00BC3F3E" w:rsidRDefault="00BC3F3E" w:rsidP="00525B0E">
      <w:pPr>
        <w:autoSpaceDE w:val="0"/>
        <w:autoSpaceDN w:val="0"/>
        <w:adjustRightInd w:val="0"/>
        <w:jc w:val="both"/>
        <w:rPr>
          <w:color w:val="000000"/>
          <w:sz w:val="20"/>
          <w:szCs w:val="20"/>
        </w:rPr>
      </w:pPr>
    </w:p>
    <w:p w14:paraId="1C83A6F6" w14:textId="306600F5" w:rsidR="00AC3AC2" w:rsidRDefault="00AC3AC2" w:rsidP="00525B0E">
      <w:pPr>
        <w:autoSpaceDE w:val="0"/>
        <w:autoSpaceDN w:val="0"/>
        <w:adjustRightInd w:val="0"/>
        <w:jc w:val="both"/>
        <w:rPr>
          <w:color w:val="000000"/>
          <w:sz w:val="20"/>
          <w:szCs w:val="20"/>
        </w:rPr>
      </w:pPr>
      <w:r>
        <w:rPr>
          <w:color w:val="000000"/>
          <w:sz w:val="20"/>
          <w:szCs w:val="20"/>
        </w:rPr>
        <w:t>The following is captured in the WF:</w:t>
      </w:r>
    </w:p>
    <w:tbl>
      <w:tblPr>
        <w:tblStyle w:val="TableGrid"/>
        <w:tblW w:w="0" w:type="auto"/>
        <w:tblLook w:val="04A0" w:firstRow="1" w:lastRow="0" w:firstColumn="1" w:lastColumn="0" w:noHBand="0" w:noVBand="1"/>
      </w:tblPr>
      <w:tblGrid>
        <w:gridCol w:w="9631"/>
      </w:tblGrid>
      <w:tr w:rsidR="00AC3AC2" w14:paraId="3ED5873C" w14:textId="77777777" w:rsidTr="00B22E6A">
        <w:tc>
          <w:tcPr>
            <w:tcW w:w="9631" w:type="dxa"/>
          </w:tcPr>
          <w:p w14:paraId="1BB8C4E2" w14:textId="77777777" w:rsidR="00AC3AC2" w:rsidRDefault="00AC3AC2" w:rsidP="00B22E6A">
            <w:pPr>
              <w:pStyle w:val="Heading4"/>
              <w:spacing w:before="0" w:after="60"/>
              <w:rPr>
                <w:rFonts w:ascii="Times New Roman" w:hAnsi="Times New Roman"/>
                <w:b/>
                <w:color w:val="0070C0"/>
                <w:sz w:val="20"/>
                <w:u w:val="single"/>
                <w:lang w:eastAsia="ko-KR"/>
              </w:rPr>
            </w:pPr>
            <w:r>
              <w:rPr>
                <w:rFonts w:ascii="Times New Roman" w:hAnsi="Times New Roman"/>
                <w:b/>
                <w:color w:val="0070C0"/>
                <w:sz w:val="20"/>
                <w:u w:val="single"/>
                <w:lang w:eastAsia="ko-KR"/>
              </w:rPr>
              <w:t>Issue 2-2: Study on power spectral density difference between carriers of co-located adjacent channel operators</w:t>
            </w:r>
          </w:p>
          <w:p w14:paraId="1A65DD7B" w14:textId="77777777" w:rsidR="00AC3AC2" w:rsidRDefault="00AC3AC2" w:rsidP="00B22E6A">
            <w:pPr>
              <w:spacing w:after="120"/>
              <w:rPr>
                <w:rFonts w:eastAsia="PMingLiU"/>
                <w:color w:val="0070C0"/>
                <w:lang w:eastAsia="zh-TW"/>
              </w:rPr>
            </w:pPr>
            <w:r>
              <w:rPr>
                <w:rFonts w:eastAsia="PMingLiU"/>
                <w:color w:val="0070C0"/>
                <w:lang w:eastAsia="zh-TW"/>
              </w:rPr>
              <w:t>Agreement:</w:t>
            </w:r>
          </w:p>
          <w:p w14:paraId="50EE872F" w14:textId="77777777" w:rsidR="00AC3AC2" w:rsidRPr="00256DFE" w:rsidRDefault="00AC3AC2" w:rsidP="00B22E6A">
            <w:pPr>
              <w:spacing w:after="120"/>
              <w:rPr>
                <w:rFonts w:eastAsia="PMingLiU"/>
                <w:lang w:eastAsia="zh-TW"/>
              </w:rPr>
            </w:pPr>
            <w:r w:rsidRPr="00256DFE">
              <w:rPr>
                <w:rFonts w:eastAsia="PMingLiU"/>
                <w:lang w:eastAsia="zh-TW"/>
              </w:rPr>
              <w:t xml:space="preserve">To evaluate acceptable [PSD] difference from UE side between wanted signal and un-wanted signal based on </w:t>
            </w:r>
            <w:r>
              <w:rPr>
                <w:rFonts w:eastAsia="PMingLiU"/>
                <w:lang w:eastAsia="zh-TW"/>
              </w:rPr>
              <w:t xml:space="preserve">the deployment where BSs from different operators are </w:t>
            </w:r>
            <w:r w:rsidRPr="00256DFE">
              <w:rPr>
                <w:rFonts w:eastAsia="PMingLiU"/>
                <w:lang w:eastAsia="zh-TW"/>
              </w:rPr>
              <w:t xml:space="preserve">collocated </w:t>
            </w:r>
            <w:r>
              <w:rPr>
                <w:rFonts w:eastAsia="PMingLiU"/>
                <w:lang w:eastAsia="zh-TW"/>
              </w:rPr>
              <w:t>but their radio units (RUs)</w:t>
            </w:r>
            <w:r w:rsidRPr="00256DFE">
              <w:rPr>
                <w:rFonts w:eastAsia="PMingLiU"/>
                <w:lang w:eastAsia="zh-TW"/>
              </w:rPr>
              <w:t xml:space="preserve"> </w:t>
            </w:r>
            <w:r>
              <w:rPr>
                <w:rFonts w:eastAsia="PMingLiU"/>
                <w:lang w:eastAsia="zh-TW"/>
              </w:rPr>
              <w:t xml:space="preserve">are </w:t>
            </w:r>
            <w:r w:rsidRPr="00256DFE">
              <w:rPr>
                <w:rFonts w:eastAsia="PMingLiU"/>
                <w:lang w:eastAsia="zh-TW"/>
              </w:rPr>
              <w:t>not shared.</w:t>
            </w:r>
          </w:p>
          <w:p w14:paraId="69C4E532" w14:textId="77777777" w:rsidR="00AC3AC2" w:rsidRPr="00256DFE" w:rsidRDefault="00AC3AC2" w:rsidP="00AC3AC2">
            <w:pPr>
              <w:pStyle w:val="ListParagraph"/>
              <w:numPr>
                <w:ilvl w:val="1"/>
                <w:numId w:val="38"/>
              </w:numPr>
              <w:overflowPunct w:val="0"/>
              <w:autoSpaceDE w:val="0"/>
              <w:autoSpaceDN w:val="0"/>
              <w:adjustRightInd w:val="0"/>
              <w:spacing w:after="120"/>
              <w:contextualSpacing w:val="0"/>
              <w:rPr>
                <w:rFonts w:eastAsia="PMingLiU"/>
                <w:lang w:eastAsia="zh-TW"/>
              </w:rPr>
            </w:pPr>
            <w:r w:rsidRPr="00256DFE">
              <w:rPr>
                <w:rFonts w:eastAsia="PMingLiU"/>
                <w:lang w:eastAsia="zh-TW"/>
              </w:rPr>
              <w:t>The [PSD] difference means the difference between unwanted signal and the wanted carrier with the lower PSD</w:t>
            </w:r>
          </w:p>
          <w:p w14:paraId="4199A82C" w14:textId="77777777" w:rsidR="00AC3AC2" w:rsidRPr="00D42042" w:rsidRDefault="00AC3AC2" w:rsidP="00AC3AC2">
            <w:pPr>
              <w:pStyle w:val="ListParagraph"/>
              <w:numPr>
                <w:ilvl w:val="1"/>
                <w:numId w:val="38"/>
              </w:numPr>
              <w:overflowPunct w:val="0"/>
              <w:autoSpaceDE w:val="0"/>
              <w:autoSpaceDN w:val="0"/>
              <w:adjustRightInd w:val="0"/>
              <w:spacing w:after="120"/>
              <w:contextualSpacing w:val="0"/>
              <w:rPr>
                <w:rFonts w:eastAsia="PMingLiU"/>
                <w:color w:val="0070C0"/>
                <w:lang w:eastAsia="zh-TW"/>
              </w:rPr>
            </w:pPr>
            <w:r w:rsidRPr="00256DFE">
              <w:rPr>
                <w:rFonts w:eastAsia="PMingLiU"/>
                <w:lang w:eastAsia="zh-TW"/>
              </w:rPr>
              <w:t>Start evaluation with wanted signal level currently existing ACS requirements as baseline and to see the performance difference</w:t>
            </w:r>
          </w:p>
        </w:tc>
      </w:tr>
    </w:tbl>
    <w:p w14:paraId="2A58621D" w14:textId="77777777" w:rsidR="00AC3AC2" w:rsidRDefault="00AC3AC2" w:rsidP="00525B0E">
      <w:pPr>
        <w:autoSpaceDE w:val="0"/>
        <w:autoSpaceDN w:val="0"/>
        <w:adjustRightInd w:val="0"/>
        <w:jc w:val="both"/>
        <w:rPr>
          <w:color w:val="000000"/>
          <w:sz w:val="20"/>
          <w:szCs w:val="20"/>
        </w:rPr>
      </w:pPr>
    </w:p>
    <w:p w14:paraId="47686B68" w14:textId="77777777" w:rsidR="00AC3AC2" w:rsidRDefault="00AC3AC2" w:rsidP="00525B0E">
      <w:pPr>
        <w:autoSpaceDE w:val="0"/>
        <w:autoSpaceDN w:val="0"/>
        <w:adjustRightInd w:val="0"/>
        <w:jc w:val="both"/>
        <w:rPr>
          <w:color w:val="000000"/>
          <w:sz w:val="20"/>
          <w:szCs w:val="20"/>
        </w:rPr>
      </w:pPr>
    </w:p>
    <w:p w14:paraId="5A6744D6" w14:textId="01A8E511" w:rsidR="00525B0E" w:rsidRDefault="00402D6C" w:rsidP="00525B0E">
      <w:pPr>
        <w:autoSpaceDE w:val="0"/>
        <w:autoSpaceDN w:val="0"/>
        <w:adjustRightInd w:val="0"/>
        <w:jc w:val="both"/>
        <w:rPr>
          <w:color w:val="000000"/>
          <w:sz w:val="20"/>
          <w:szCs w:val="20"/>
        </w:rPr>
      </w:pPr>
      <w:r>
        <w:rPr>
          <w:color w:val="000000"/>
          <w:sz w:val="20"/>
          <w:szCs w:val="20"/>
        </w:rPr>
        <w:t xml:space="preserve">Because of the impact on both </w:t>
      </w:r>
      <w:r w:rsidR="00525B0E">
        <w:rPr>
          <w:color w:val="000000"/>
          <w:sz w:val="20"/>
          <w:szCs w:val="20"/>
        </w:rPr>
        <w:t xml:space="preserve">ACS and in-band blocking requirement, it is justified to limit the blocker power level. Furthermore, the blocker would impact RX </w:t>
      </w:r>
      <w:r w:rsidR="00525B0E" w:rsidRPr="00525B0E">
        <w:rPr>
          <w:color w:val="000000"/>
          <w:sz w:val="20"/>
          <w:szCs w:val="20"/>
        </w:rPr>
        <w:t>dynamic range</w:t>
      </w:r>
      <w:r w:rsidR="00525B0E">
        <w:rPr>
          <w:color w:val="000000"/>
          <w:sz w:val="20"/>
          <w:szCs w:val="20"/>
        </w:rPr>
        <w:t xml:space="preserve">. </w:t>
      </w:r>
      <w:r w:rsidR="00525B0E" w:rsidRPr="00525B0E">
        <w:rPr>
          <w:color w:val="000000"/>
          <w:sz w:val="20"/>
          <w:szCs w:val="20"/>
        </w:rPr>
        <w:t>For example, consider the extreme case where the gap is 13 times wide than a 5MHz channel, like CA_n3(2A)</w:t>
      </w:r>
      <w:r w:rsidR="00525B0E">
        <w:rPr>
          <w:color w:val="000000"/>
          <w:sz w:val="20"/>
          <w:szCs w:val="20"/>
        </w:rPr>
        <w:t>. If we assume the blocker is</w:t>
      </w:r>
      <w:r w:rsidR="00525B0E" w:rsidRPr="00525B0E">
        <w:rPr>
          <w:color w:val="000000"/>
          <w:sz w:val="20"/>
          <w:szCs w:val="20"/>
        </w:rPr>
        <w:t xml:space="preserve"> </w:t>
      </w:r>
      <w:r w:rsidR="00525B0E">
        <w:rPr>
          <w:color w:val="000000"/>
          <w:sz w:val="20"/>
          <w:szCs w:val="20"/>
        </w:rPr>
        <w:t xml:space="preserve">65MHz wide and there is </w:t>
      </w:r>
      <w:r w:rsidR="00525B0E" w:rsidRPr="00525B0E">
        <w:rPr>
          <w:color w:val="000000"/>
          <w:sz w:val="20"/>
          <w:szCs w:val="20"/>
        </w:rPr>
        <w:t>6dB PSD difference</w:t>
      </w:r>
      <w:r w:rsidR="00525B0E">
        <w:rPr>
          <w:color w:val="000000"/>
          <w:sz w:val="20"/>
          <w:szCs w:val="20"/>
        </w:rPr>
        <w:t xml:space="preserve"> between the blocker and one of the two non-contiguous CCs</w:t>
      </w:r>
      <w:r w:rsidR="00525B0E" w:rsidRPr="00525B0E">
        <w:rPr>
          <w:color w:val="000000"/>
          <w:sz w:val="20"/>
          <w:szCs w:val="20"/>
        </w:rPr>
        <w:t xml:space="preserve">, </w:t>
      </w:r>
      <w:r w:rsidR="00525B0E">
        <w:rPr>
          <w:color w:val="000000"/>
          <w:sz w:val="20"/>
          <w:szCs w:val="20"/>
        </w:rPr>
        <w:t xml:space="preserve">the blocker power is </w:t>
      </w:r>
      <w:r w:rsidR="00525B0E" w:rsidRPr="00525B0E">
        <w:rPr>
          <w:color w:val="000000"/>
          <w:sz w:val="20"/>
          <w:szCs w:val="20"/>
        </w:rPr>
        <w:t xml:space="preserve">17dB </w:t>
      </w:r>
      <w:r w:rsidR="00525B0E">
        <w:rPr>
          <w:color w:val="000000"/>
          <w:sz w:val="20"/>
          <w:szCs w:val="20"/>
        </w:rPr>
        <w:t xml:space="preserve">higher than the CC </w:t>
      </w:r>
      <w:r w:rsidR="00525B0E" w:rsidRPr="00525B0E">
        <w:rPr>
          <w:color w:val="000000"/>
          <w:sz w:val="20"/>
          <w:szCs w:val="20"/>
        </w:rPr>
        <w:t>power</w:t>
      </w:r>
      <w:r w:rsidR="00525B0E">
        <w:rPr>
          <w:color w:val="000000"/>
          <w:sz w:val="20"/>
          <w:szCs w:val="20"/>
        </w:rPr>
        <w:t xml:space="preserve">, which would affect the </w:t>
      </w:r>
      <w:r w:rsidR="00027A50" w:rsidRPr="00027A50">
        <w:rPr>
          <w:color w:val="000000"/>
          <w:sz w:val="20"/>
          <w:szCs w:val="20"/>
        </w:rPr>
        <w:t>ADC dynamic range requirement</w:t>
      </w:r>
      <w:r w:rsidR="00027A50">
        <w:rPr>
          <w:color w:val="000000"/>
          <w:sz w:val="20"/>
          <w:szCs w:val="20"/>
        </w:rPr>
        <w:t xml:space="preserve"> </w:t>
      </w:r>
      <w:r w:rsidR="00525B0E">
        <w:rPr>
          <w:color w:val="000000"/>
          <w:sz w:val="20"/>
          <w:szCs w:val="20"/>
        </w:rPr>
        <w:t>and the receiver performance</w:t>
      </w:r>
      <w:r w:rsidR="00525B0E" w:rsidRPr="00525B0E">
        <w:rPr>
          <w:color w:val="000000"/>
          <w:sz w:val="20"/>
          <w:szCs w:val="20"/>
        </w:rPr>
        <w:t>.</w:t>
      </w:r>
      <w:r w:rsidR="00713AD9">
        <w:rPr>
          <w:color w:val="000000"/>
          <w:sz w:val="20"/>
          <w:szCs w:val="20"/>
        </w:rPr>
        <w:t xml:space="preserve"> </w:t>
      </w:r>
      <w:r>
        <w:rPr>
          <w:color w:val="000000"/>
          <w:sz w:val="20"/>
          <w:szCs w:val="20"/>
        </w:rPr>
        <w:t xml:space="preserve">Another aspect is that due to the wide analog BB filter, the rejection to the TX signal is lower, leading to a stronger TX leakage that will further impact the ADC dynamic range. </w:t>
      </w:r>
      <w:r w:rsidR="00713AD9">
        <w:rPr>
          <w:color w:val="000000"/>
          <w:sz w:val="20"/>
          <w:szCs w:val="20"/>
        </w:rPr>
        <w:t xml:space="preserve">Therefore, it is necessary to limit not only the PSD difference between the blocker and CCs, but also the gap </w:t>
      </w:r>
      <w:r w:rsidR="00D21512">
        <w:rPr>
          <w:color w:val="000000"/>
          <w:sz w:val="20"/>
          <w:szCs w:val="20"/>
        </w:rPr>
        <w:t>width</w:t>
      </w:r>
      <w:r w:rsidR="00713AD9">
        <w:rPr>
          <w:color w:val="000000"/>
          <w:sz w:val="20"/>
          <w:szCs w:val="20"/>
        </w:rPr>
        <w:t xml:space="preserve"> between the two CCs.</w:t>
      </w:r>
      <w:r w:rsidR="00B15669">
        <w:rPr>
          <w:color w:val="000000"/>
          <w:sz w:val="20"/>
          <w:szCs w:val="20"/>
        </w:rPr>
        <w:t xml:space="preserve"> </w:t>
      </w:r>
      <w:r w:rsidR="003C3C9E">
        <w:rPr>
          <w:color w:val="000000"/>
          <w:sz w:val="20"/>
          <w:szCs w:val="20"/>
        </w:rPr>
        <w:t>That said, if we f</w:t>
      </w:r>
      <w:r w:rsidR="003C3C9E" w:rsidRPr="003C3C9E">
        <w:rPr>
          <w:color w:val="000000"/>
          <w:sz w:val="20"/>
          <w:szCs w:val="20"/>
        </w:rPr>
        <w:t xml:space="preserve">ollow the ACS and in-band blocking test configurations, </w:t>
      </w:r>
      <w:r w:rsidR="003C3C9E">
        <w:rPr>
          <w:color w:val="000000"/>
          <w:sz w:val="20"/>
          <w:szCs w:val="20"/>
        </w:rPr>
        <w:t xml:space="preserve">in which </w:t>
      </w:r>
      <w:r w:rsidR="003C3C9E" w:rsidRPr="003C3C9E">
        <w:rPr>
          <w:color w:val="000000"/>
          <w:sz w:val="20"/>
          <w:szCs w:val="20"/>
        </w:rPr>
        <w:t>the blocker BW is either 5MHz or the same as wanted signal BW</w:t>
      </w:r>
      <w:r w:rsidR="003C3C9E">
        <w:rPr>
          <w:color w:val="000000"/>
          <w:sz w:val="20"/>
          <w:szCs w:val="20"/>
        </w:rPr>
        <w:t xml:space="preserve">, we may not need to limit the gap </w:t>
      </w:r>
      <w:r w:rsidR="00D21512">
        <w:rPr>
          <w:color w:val="000000"/>
          <w:sz w:val="20"/>
          <w:szCs w:val="20"/>
        </w:rPr>
        <w:t>width</w:t>
      </w:r>
      <w:r w:rsidR="003C3C9E">
        <w:rPr>
          <w:color w:val="000000"/>
          <w:sz w:val="20"/>
          <w:szCs w:val="20"/>
        </w:rPr>
        <w:t xml:space="preserve">. </w:t>
      </w:r>
      <w:r w:rsidR="001E56AE">
        <w:rPr>
          <w:color w:val="000000"/>
          <w:sz w:val="20"/>
          <w:szCs w:val="20"/>
        </w:rPr>
        <w:t>Some UE capability reporting could also be considered for UE to report its capability in handling blocker level and the maximum frequency span per shared R</w:t>
      </w:r>
      <w:r w:rsidR="00F25534">
        <w:rPr>
          <w:color w:val="000000"/>
          <w:sz w:val="20"/>
          <w:szCs w:val="20"/>
        </w:rPr>
        <w:t>F</w:t>
      </w:r>
      <w:r w:rsidR="001E56AE">
        <w:rPr>
          <w:color w:val="000000"/>
          <w:sz w:val="20"/>
          <w:szCs w:val="20"/>
        </w:rPr>
        <w:t xml:space="preserve"> chain. </w:t>
      </w:r>
      <w:r w:rsidR="00B15669">
        <w:rPr>
          <w:color w:val="000000"/>
          <w:sz w:val="20"/>
          <w:szCs w:val="20"/>
        </w:rPr>
        <w:t>Note also that it was agreed in the SID that there is u</w:t>
      </w:r>
      <w:r w:rsidR="00B15669" w:rsidRPr="00B15669">
        <w:rPr>
          <w:color w:val="000000"/>
          <w:sz w:val="20"/>
          <w:szCs w:val="20"/>
        </w:rPr>
        <w:t>p to 6 dB DL received power spectral density imbalance between the two non-contiguous CCs</w:t>
      </w:r>
      <w:r w:rsidR="00B15669">
        <w:rPr>
          <w:color w:val="000000"/>
          <w:sz w:val="20"/>
          <w:szCs w:val="20"/>
        </w:rPr>
        <w:t>.</w:t>
      </w:r>
    </w:p>
    <w:p w14:paraId="5E71B5D6" w14:textId="77777777" w:rsidR="00C25701" w:rsidRDefault="00C25701" w:rsidP="00525B0E">
      <w:pPr>
        <w:autoSpaceDE w:val="0"/>
        <w:autoSpaceDN w:val="0"/>
        <w:adjustRightInd w:val="0"/>
        <w:jc w:val="both"/>
        <w:rPr>
          <w:color w:val="000000"/>
          <w:sz w:val="20"/>
          <w:szCs w:val="20"/>
        </w:rPr>
      </w:pPr>
    </w:p>
    <w:p w14:paraId="716C87DD" w14:textId="42B8AF88" w:rsidR="00C25701" w:rsidRDefault="00C25701" w:rsidP="00C25701">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3</w:t>
      </w:r>
      <w:r w:rsidRPr="004E0E90">
        <w:rPr>
          <w:b/>
          <w:bCs/>
          <w:i/>
          <w:iCs/>
          <w:sz w:val="20"/>
          <w:szCs w:val="20"/>
        </w:rPr>
        <w:t xml:space="preserve">: </w:t>
      </w:r>
      <w:r w:rsidRPr="00864E87">
        <w:rPr>
          <w:b/>
          <w:bCs/>
          <w:i/>
          <w:iCs/>
          <w:sz w:val="20"/>
          <w:szCs w:val="20"/>
        </w:rPr>
        <w:t xml:space="preserve">It is proposed to </w:t>
      </w:r>
      <w:r w:rsidR="00434879">
        <w:rPr>
          <w:b/>
          <w:bCs/>
          <w:i/>
          <w:iCs/>
          <w:sz w:val="20"/>
          <w:szCs w:val="20"/>
        </w:rPr>
        <w:t>limit</w:t>
      </w:r>
      <w:r w:rsidRPr="00864E87">
        <w:rPr>
          <w:b/>
          <w:bCs/>
          <w:i/>
          <w:iCs/>
          <w:sz w:val="20"/>
          <w:szCs w:val="20"/>
        </w:rPr>
        <w:t xml:space="preserve"> </w:t>
      </w:r>
      <w:r w:rsidR="00434879">
        <w:rPr>
          <w:b/>
          <w:bCs/>
          <w:i/>
          <w:iCs/>
          <w:sz w:val="20"/>
          <w:szCs w:val="20"/>
        </w:rPr>
        <w:t xml:space="preserve">the PSD </w:t>
      </w:r>
      <w:r w:rsidR="00434879" w:rsidRPr="00434879">
        <w:rPr>
          <w:b/>
          <w:bCs/>
          <w:i/>
          <w:iCs/>
          <w:sz w:val="20"/>
          <w:szCs w:val="20"/>
        </w:rPr>
        <w:t>difference betwee</w:t>
      </w:r>
      <w:r w:rsidR="00434879">
        <w:rPr>
          <w:b/>
          <w:bCs/>
          <w:i/>
          <w:iCs/>
          <w:sz w:val="20"/>
          <w:szCs w:val="20"/>
        </w:rPr>
        <w:t>n the blocker</w:t>
      </w:r>
      <w:r w:rsidR="00434879" w:rsidRPr="00434879">
        <w:rPr>
          <w:b/>
          <w:bCs/>
          <w:i/>
          <w:iCs/>
          <w:sz w:val="20"/>
          <w:szCs w:val="20"/>
        </w:rPr>
        <w:t xml:space="preserve"> and the </w:t>
      </w:r>
      <w:r w:rsidR="00434879">
        <w:rPr>
          <w:b/>
          <w:bCs/>
          <w:i/>
          <w:iCs/>
          <w:sz w:val="20"/>
          <w:szCs w:val="20"/>
        </w:rPr>
        <w:t xml:space="preserve">CC </w:t>
      </w:r>
      <w:r w:rsidR="00434879" w:rsidRPr="00434879">
        <w:rPr>
          <w:b/>
          <w:bCs/>
          <w:i/>
          <w:iCs/>
          <w:sz w:val="20"/>
          <w:szCs w:val="20"/>
        </w:rPr>
        <w:t>with the lower PSD</w:t>
      </w:r>
      <w:r w:rsidR="00434879">
        <w:rPr>
          <w:b/>
          <w:bCs/>
          <w:i/>
          <w:iCs/>
          <w:sz w:val="20"/>
          <w:szCs w:val="20"/>
        </w:rPr>
        <w:t xml:space="preserve"> to </w:t>
      </w:r>
      <w:r w:rsidR="00D1674E">
        <w:rPr>
          <w:b/>
          <w:bCs/>
          <w:i/>
          <w:iCs/>
          <w:sz w:val="20"/>
          <w:szCs w:val="20"/>
        </w:rPr>
        <w:t>[</w:t>
      </w:r>
      <w:r w:rsidRPr="00864E87">
        <w:rPr>
          <w:b/>
          <w:bCs/>
          <w:i/>
          <w:iCs/>
          <w:sz w:val="20"/>
          <w:szCs w:val="20"/>
        </w:rPr>
        <w:t>6dB</w:t>
      </w:r>
      <w:r w:rsidR="00D1674E">
        <w:rPr>
          <w:b/>
          <w:bCs/>
          <w:i/>
          <w:iCs/>
          <w:sz w:val="20"/>
          <w:szCs w:val="20"/>
        </w:rPr>
        <w:t>]</w:t>
      </w:r>
      <w:r w:rsidRPr="00864E87">
        <w:rPr>
          <w:b/>
          <w:bCs/>
          <w:i/>
          <w:iCs/>
          <w:sz w:val="20"/>
          <w:szCs w:val="20"/>
        </w:rPr>
        <w:t xml:space="preserve">. </w:t>
      </w:r>
    </w:p>
    <w:p w14:paraId="44BAF1C5" w14:textId="77777777" w:rsidR="00CE355D" w:rsidRDefault="00CE355D" w:rsidP="00525B0E">
      <w:pPr>
        <w:autoSpaceDE w:val="0"/>
        <w:autoSpaceDN w:val="0"/>
        <w:adjustRightInd w:val="0"/>
        <w:jc w:val="both"/>
        <w:rPr>
          <w:color w:val="000000"/>
          <w:sz w:val="20"/>
          <w:szCs w:val="20"/>
        </w:rPr>
      </w:pPr>
    </w:p>
    <w:p w14:paraId="15BD9461" w14:textId="12A9EDB0" w:rsidR="00C25701" w:rsidRPr="00C25701" w:rsidRDefault="00C25701" w:rsidP="00C25701">
      <w:pPr>
        <w:autoSpaceDE w:val="0"/>
        <w:autoSpaceDN w:val="0"/>
        <w:adjustRightInd w:val="0"/>
        <w:jc w:val="both"/>
        <w:rPr>
          <w:color w:val="000000"/>
          <w:sz w:val="20"/>
          <w:szCs w:val="20"/>
        </w:rPr>
      </w:pPr>
      <w:r>
        <w:rPr>
          <w:color w:val="000000"/>
          <w:sz w:val="20"/>
          <w:szCs w:val="20"/>
        </w:rPr>
        <w:t>Another issue is depending on the gap width, there could be more than one blocker in the gap. An a</w:t>
      </w:r>
      <w:r w:rsidR="00CE355D">
        <w:rPr>
          <w:color w:val="000000"/>
          <w:sz w:val="20"/>
          <w:szCs w:val="20"/>
        </w:rPr>
        <w:t xml:space="preserve">lternative to limiting </w:t>
      </w:r>
      <w:r w:rsidR="00CE355D" w:rsidRPr="00305D70">
        <w:rPr>
          <w:color w:val="000000"/>
          <w:sz w:val="20"/>
          <w:szCs w:val="20"/>
        </w:rPr>
        <w:t xml:space="preserve">PSD </w:t>
      </w:r>
      <w:r w:rsidR="00CE355D">
        <w:rPr>
          <w:color w:val="000000"/>
          <w:sz w:val="20"/>
          <w:szCs w:val="20"/>
        </w:rPr>
        <w:t xml:space="preserve">difference and </w:t>
      </w:r>
      <w:r w:rsidR="00CE355D" w:rsidRPr="00305D70">
        <w:rPr>
          <w:color w:val="000000"/>
          <w:sz w:val="20"/>
          <w:szCs w:val="20"/>
        </w:rPr>
        <w:t>gap width</w:t>
      </w:r>
      <w:r>
        <w:rPr>
          <w:color w:val="000000"/>
          <w:sz w:val="20"/>
          <w:szCs w:val="20"/>
        </w:rPr>
        <w:t xml:space="preserve"> is to </w:t>
      </w:r>
      <w:r w:rsidR="00CE355D">
        <w:rPr>
          <w:color w:val="000000"/>
          <w:sz w:val="20"/>
          <w:szCs w:val="20"/>
        </w:rPr>
        <w:t xml:space="preserve">consider if it is feasible to </w:t>
      </w:r>
      <w:r w:rsidR="00CE355D" w:rsidRPr="00305D70">
        <w:rPr>
          <w:color w:val="000000"/>
          <w:sz w:val="20"/>
          <w:szCs w:val="20"/>
        </w:rPr>
        <w:t xml:space="preserve">define a total aggregated power </w:t>
      </w:r>
      <w:r>
        <w:rPr>
          <w:color w:val="000000"/>
          <w:sz w:val="20"/>
          <w:szCs w:val="20"/>
        </w:rPr>
        <w:t>of all blockers in the gap</w:t>
      </w:r>
      <w:r w:rsidR="00CE355D" w:rsidRPr="00305D70">
        <w:rPr>
          <w:color w:val="000000"/>
          <w:sz w:val="20"/>
          <w:szCs w:val="20"/>
        </w:rPr>
        <w:t xml:space="preserve">. </w:t>
      </w:r>
      <w:r>
        <w:rPr>
          <w:color w:val="000000"/>
          <w:sz w:val="20"/>
          <w:szCs w:val="20"/>
        </w:rPr>
        <w:t xml:space="preserve">This is because there could be quite a few combinations of blocker power and gap width. </w:t>
      </w:r>
      <w:r w:rsidRPr="00C25701">
        <w:rPr>
          <w:color w:val="000000"/>
          <w:sz w:val="20"/>
          <w:szCs w:val="20"/>
        </w:rPr>
        <w:t>As a result, it may be complicated to specify in standards under which case the UE is expected to enable common RF chain</w:t>
      </w:r>
      <w:r>
        <w:rPr>
          <w:color w:val="000000"/>
          <w:sz w:val="20"/>
          <w:szCs w:val="20"/>
        </w:rPr>
        <w:t xml:space="preserve">, with all possible gap width and number of blockers. </w:t>
      </w:r>
    </w:p>
    <w:p w14:paraId="76A71E2D" w14:textId="77777777" w:rsidR="00305D70" w:rsidRDefault="00305D70" w:rsidP="00F04A63">
      <w:pPr>
        <w:autoSpaceDE w:val="0"/>
        <w:autoSpaceDN w:val="0"/>
        <w:adjustRightInd w:val="0"/>
        <w:jc w:val="both"/>
        <w:rPr>
          <w:color w:val="000000"/>
          <w:sz w:val="20"/>
          <w:szCs w:val="20"/>
        </w:rPr>
      </w:pPr>
    </w:p>
    <w:p w14:paraId="7DF49939" w14:textId="1E790D1C" w:rsidR="00CE355D" w:rsidRDefault="00CE355D" w:rsidP="00E40560">
      <w:pPr>
        <w:spacing w:before="100" w:beforeAutospacing="1" w:after="100"/>
        <w:rPr>
          <w:b/>
          <w:bCs/>
          <w:i/>
          <w:iCs/>
          <w:sz w:val="20"/>
          <w:szCs w:val="20"/>
        </w:rPr>
      </w:pPr>
      <w:r w:rsidRPr="00CE355D">
        <w:rPr>
          <w:b/>
          <w:bCs/>
          <w:i/>
          <w:iCs/>
          <w:sz w:val="20"/>
          <w:szCs w:val="20"/>
        </w:rPr>
        <w:lastRenderedPageBreak/>
        <w:t xml:space="preserve">Proposal </w:t>
      </w:r>
      <w:r w:rsidR="007C7710">
        <w:rPr>
          <w:b/>
          <w:bCs/>
          <w:i/>
          <w:iCs/>
          <w:sz w:val="20"/>
          <w:szCs w:val="20"/>
        </w:rPr>
        <w:t>4</w:t>
      </w:r>
      <w:r w:rsidRPr="00CE355D">
        <w:rPr>
          <w:b/>
          <w:bCs/>
          <w:i/>
          <w:iCs/>
          <w:sz w:val="20"/>
          <w:szCs w:val="20"/>
        </w:rPr>
        <w:t xml:space="preserve">: It is proposed to consider as an alternative if it is feasible to define </w:t>
      </w:r>
      <w:r w:rsidR="00C25701" w:rsidRPr="00C25701">
        <w:rPr>
          <w:b/>
          <w:bCs/>
          <w:i/>
          <w:iCs/>
          <w:sz w:val="20"/>
          <w:szCs w:val="20"/>
        </w:rPr>
        <w:t>a total aggregated power of all blockers in the gap</w:t>
      </w:r>
      <w:r w:rsidRPr="00CE355D">
        <w:rPr>
          <w:b/>
          <w:bCs/>
          <w:i/>
          <w:iCs/>
          <w:sz w:val="20"/>
          <w:szCs w:val="20"/>
        </w:rPr>
        <w:t xml:space="preserve"> between CC1 and CC2.</w:t>
      </w:r>
    </w:p>
    <w:p w14:paraId="7806C6F4" w14:textId="77777777" w:rsidR="00864E87" w:rsidRDefault="00864E87" w:rsidP="00864E87">
      <w:pPr>
        <w:autoSpaceDE w:val="0"/>
        <w:autoSpaceDN w:val="0"/>
        <w:adjustRightInd w:val="0"/>
        <w:jc w:val="both"/>
        <w:rPr>
          <w:b/>
          <w:bCs/>
          <w:color w:val="000000"/>
          <w:sz w:val="20"/>
          <w:szCs w:val="20"/>
          <w:u w:val="single"/>
        </w:rPr>
      </w:pPr>
    </w:p>
    <w:p w14:paraId="359E5FFB" w14:textId="0A65B3DB" w:rsidR="00A44B59" w:rsidRPr="006A1291" w:rsidRDefault="00610C4E" w:rsidP="00A44B59">
      <w:pPr>
        <w:autoSpaceDE w:val="0"/>
        <w:autoSpaceDN w:val="0"/>
        <w:adjustRightInd w:val="0"/>
        <w:jc w:val="both"/>
        <w:rPr>
          <w:b/>
          <w:bCs/>
          <w:color w:val="000000"/>
          <w:sz w:val="20"/>
          <w:szCs w:val="20"/>
          <w:u w:val="single"/>
        </w:rPr>
      </w:pPr>
      <w:r>
        <w:rPr>
          <w:b/>
          <w:bCs/>
          <w:color w:val="000000"/>
          <w:sz w:val="20"/>
          <w:szCs w:val="20"/>
          <w:u w:val="single"/>
        </w:rPr>
        <w:t>Image rejection requirement</w:t>
      </w:r>
    </w:p>
    <w:p w14:paraId="17D4F561" w14:textId="77777777" w:rsidR="00A44B59" w:rsidRDefault="00A44B59" w:rsidP="00A44B59">
      <w:pPr>
        <w:autoSpaceDE w:val="0"/>
        <w:autoSpaceDN w:val="0"/>
        <w:adjustRightInd w:val="0"/>
        <w:jc w:val="both"/>
        <w:rPr>
          <w:color w:val="000000"/>
          <w:sz w:val="20"/>
          <w:szCs w:val="20"/>
        </w:rPr>
      </w:pPr>
    </w:p>
    <w:p w14:paraId="4F22153C" w14:textId="2D86FB11" w:rsidR="00864E87" w:rsidRDefault="00610C4E" w:rsidP="00A44B59">
      <w:pPr>
        <w:autoSpaceDE w:val="0"/>
        <w:autoSpaceDN w:val="0"/>
        <w:adjustRightInd w:val="0"/>
        <w:jc w:val="both"/>
        <w:rPr>
          <w:color w:val="000000"/>
          <w:sz w:val="20"/>
          <w:szCs w:val="20"/>
        </w:rPr>
      </w:pPr>
      <w:r>
        <w:rPr>
          <w:color w:val="000000"/>
          <w:sz w:val="20"/>
          <w:szCs w:val="20"/>
        </w:rPr>
        <w:t>C</w:t>
      </w:r>
      <w:r w:rsidR="00063A26" w:rsidRPr="00063A26">
        <w:rPr>
          <w:color w:val="000000"/>
          <w:sz w:val="20"/>
          <w:szCs w:val="20"/>
        </w:rPr>
        <w:t>urrently there is no requirement on image rejection for NR</w:t>
      </w:r>
      <w:r w:rsidR="00063A26">
        <w:rPr>
          <w:color w:val="000000"/>
          <w:sz w:val="20"/>
          <w:szCs w:val="20"/>
        </w:rPr>
        <w:t>. On the need of a rejection level of the image caused by the in-gap interferer, our current view is i</w:t>
      </w:r>
      <w:r w:rsidR="00A44B59" w:rsidRPr="00A44B59">
        <w:rPr>
          <w:color w:val="000000"/>
          <w:sz w:val="20"/>
          <w:szCs w:val="20"/>
        </w:rPr>
        <w:t xml:space="preserve">f PSD of blocker is limited, the image rejection requirement can be indirectly ensured. </w:t>
      </w:r>
      <w:r w:rsidR="00063A26">
        <w:rPr>
          <w:color w:val="000000"/>
          <w:sz w:val="20"/>
          <w:szCs w:val="20"/>
        </w:rPr>
        <w:t xml:space="preserve">Since any new requirement would incur testing overhead, </w:t>
      </w:r>
      <w:r w:rsidR="00A44B59" w:rsidRPr="00A44B59">
        <w:rPr>
          <w:color w:val="000000"/>
          <w:sz w:val="20"/>
          <w:szCs w:val="20"/>
        </w:rPr>
        <w:t xml:space="preserve">it is not preferred to specify </w:t>
      </w:r>
      <w:r w:rsidR="00063A26">
        <w:rPr>
          <w:color w:val="000000"/>
          <w:sz w:val="20"/>
          <w:szCs w:val="20"/>
        </w:rPr>
        <w:t>a new</w:t>
      </w:r>
      <w:r w:rsidR="00A44B59" w:rsidRPr="00A44B59">
        <w:rPr>
          <w:color w:val="000000"/>
          <w:sz w:val="20"/>
          <w:szCs w:val="20"/>
        </w:rPr>
        <w:t xml:space="preserve"> image rejection requirement</w:t>
      </w:r>
      <w:r w:rsidR="00063A26">
        <w:rPr>
          <w:color w:val="000000"/>
          <w:sz w:val="20"/>
          <w:szCs w:val="20"/>
        </w:rPr>
        <w:t>.</w:t>
      </w:r>
    </w:p>
    <w:p w14:paraId="11CC8C85" w14:textId="77777777" w:rsidR="00A44B59" w:rsidRDefault="00A44B59" w:rsidP="00A44B59">
      <w:pPr>
        <w:autoSpaceDE w:val="0"/>
        <w:autoSpaceDN w:val="0"/>
        <w:adjustRightInd w:val="0"/>
        <w:jc w:val="both"/>
        <w:rPr>
          <w:color w:val="000000"/>
          <w:sz w:val="20"/>
          <w:szCs w:val="20"/>
        </w:rPr>
      </w:pPr>
    </w:p>
    <w:p w14:paraId="03A23F78" w14:textId="077A18B9" w:rsidR="005C6CA2" w:rsidRDefault="005C6CA2" w:rsidP="005C6CA2">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5</w:t>
      </w:r>
      <w:r w:rsidRPr="004E0E90">
        <w:rPr>
          <w:b/>
          <w:bCs/>
          <w:i/>
          <w:iCs/>
          <w:sz w:val="20"/>
          <w:szCs w:val="20"/>
        </w:rPr>
        <w:t xml:space="preserve">: </w:t>
      </w:r>
      <w:r>
        <w:rPr>
          <w:b/>
          <w:bCs/>
          <w:i/>
          <w:iCs/>
          <w:sz w:val="20"/>
          <w:szCs w:val="20"/>
        </w:rPr>
        <w:t>I</w:t>
      </w:r>
      <w:r w:rsidRPr="005C6CA2">
        <w:rPr>
          <w:b/>
          <w:bCs/>
          <w:i/>
          <w:iCs/>
          <w:sz w:val="20"/>
          <w:szCs w:val="20"/>
        </w:rPr>
        <w:t>t is not preferred to specify a new image rejection requirement.</w:t>
      </w:r>
      <w:r>
        <w:rPr>
          <w:b/>
          <w:bCs/>
          <w:i/>
          <w:iCs/>
          <w:sz w:val="20"/>
          <w:szCs w:val="20"/>
        </w:rPr>
        <w:t xml:space="preserve"> Instead, the blocker PSD relative to PSD of CCs should be limited, as in Proposal </w:t>
      </w:r>
      <w:r w:rsidR="00434879">
        <w:rPr>
          <w:b/>
          <w:bCs/>
          <w:i/>
          <w:iCs/>
          <w:sz w:val="20"/>
          <w:szCs w:val="20"/>
        </w:rPr>
        <w:t>3</w:t>
      </w:r>
      <w:r>
        <w:rPr>
          <w:b/>
          <w:bCs/>
          <w:i/>
          <w:iCs/>
          <w:sz w:val="20"/>
          <w:szCs w:val="20"/>
        </w:rPr>
        <w:t>.</w:t>
      </w:r>
    </w:p>
    <w:p w14:paraId="63B63586" w14:textId="77777777" w:rsidR="009E1B5E" w:rsidRDefault="009E1B5E" w:rsidP="00435B44">
      <w:pPr>
        <w:rPr>
          <w:color w:val="000000"/>
          <w:sz w:val="20"/>
          <w:szCs w:val="20"/>
        </w:rPr>
      </w:pPr>
    </w:p>
    <w:p w14:paraId="185F1F7A" w14:textId="052E3A3E" w:rsidR="00970E90" w:rsidRPr="0024741D" w:rsidRDefault="00970E90" w:rsidP="0024741D">
      <w:pPr>
        <w:autoSpaceDE w:val="0"/>
        <w:autoSpaceDN w:val="0"/>
        <w:adjustRightInd w:val="0"/>
        <w:jc w:val="both"/>
        <w:rPr>
          <w:b/>
          <w:bCs/>
          <w:color w:val="000000"/>
          <w:sz w:val="20"/>
          <w:szCs w:val="20"/>
          <w:u w:val="single"/>
        </w:rPr>
      </w:pPr>
      <w:r w:rsidRPr="0024741D">
        <w:rPr>
          <w:b/>
          <w:bCs/>
          <w:color w:val="000000"/>
          <w:sz w:val="20"/>
          <w:szCs w:val="20"/>
          <w:u w:val="single"/>
        </w:rPr>
        <w:t>Other constraints</w:t>
      </w:r>
    </w:p>
    <w:p w14:paraId="756D9E4C" w14:textId="77777777" w:rsidR="00970E90" w:rsidRDefault="00970E90" w:rsidP="00970E90">
      <w:pPr>
        <w:rPr>
          <w:color w:val="000000"/>
          <w:sz w:val="20"/>
          <w:szCs w:val="20"/>
        </w:rPr>
      </w:pPr>
    </w:p>
    <w:p w14:paraId="24F668A5" w14:textId="77777777" w:rsidR="00970E90" w:rsidRDefault="00970E90" w:rsidP="00970E90">
      <w:pPr>
        <w:rPr>
          <w:color w:val="000000"/>
          <w:sz w:val="20"/>
          <w:szCs w:val="20"/>
        </w:rPr>
      </w:pPr>
      <w:r>
        <w:rPr>
          <w:color w:val="000000"/>
          <w:sz w:val="20"/>
          <w:szCs w:val="20"/>
        </w:rPr>
        <w:t>Besides the necessary adjustments to requirements, we propose to clearly specify the constraints:</w:t>
      </w:r>
    </w:p>
    <w:p w14:paraId="7B6BDB4E" w14:textId="47D316EE" w:rsidR="00970E90" w:rsidRDefault="00970E90" w:rsidP="00970E90">
      <w:pPr>
        <w:pStyle w:val="ListParagraph"/>
        <w:numPr>
          <w:ilvl w:val="0"/>
          <w:numId w:val="37"/>
        </w:numPr>
        <w:rPr>
          <w:color w:val="000000"/>
          <w:sz w:val="20"/>
          <w:szCs w:val="20"/>
        </w:rPr>
      </w:pPr>
      <w:r>
        <w:rPr>
          <w:color w:val="000000"/>
          <w:sz w:val="20"/>
          <w:szCs w:val="20"/>
        </w:rPr>
        <w:t>To ease the receive design</w:t>
      </w:r>
      <w:r w:rsidR="003046F8">
        <w:rPr>
          <w:color w:val="000000"/>
          <w:sz w:val="20"/>
          <w:szCs w:val="20"/>
        </w:rPr>
        <w:t xml:space="preserve"> when common RF chain is used</w:t>
      </w:r>
      <w:r>
        <w:rPr>
          <w:color w:val="000000"/>
          <w:sz w:val="20"/>
          <w:szCs w:val="20"/>
        </w:rPr>
        <w:t>, it is preferred to have the same SCS for both CCs. We think this can be reasonable since both CCs are in the same band.</w:t>
      </w:r>
    </w:p>
    <w:p w14:paraId="2D8CBA11" w14:textId="1E18A51B" w:rsidR="003046F8" w:rsidRDefault="003046F8" w:rsidP="00970E90">
      <w:pPr>
        <w:pStyle w:val="ListParagraph"/>
        <w:numPr>
          <w:ilvl w:val="0"/>
          <w:numId w:val="37"/>
        </w:numPr>
        <w:rPr>
          <w:color w:val="000000"/>
          <w:sz w:val="20"/>
          <w:szCs w:val="20"/>
        </w:rPr>
      </w:pPr>
      <w:r>
        <w:rPr>
          <w:color w:val="000000"/>
          <w:sz w:val="20"/>
          <w:szCs w:val="20"/>
        </w:rPr>
        <w:t>The two CCs are co-located which ensures good time alignment of the two CCs at the UE receiver. This is already assumed in the SID.</w:t>
      </w:r>
    </w:p>
    <w:p w14:paraId="1BF12113" w14:textId="77777777" w:rsidR="003046F8" w:rsidRDefault="003046F8" w:rsidP="003046F8">
      <w:pPr>
        <w:rPr>
          <w:color w:val="000000"/>
          <w:sz w:val="20"/>
          <w:szCs w:val="20"/>
        </w:rPr>
      </w:pPr>
    </w:p>
    <w:p w14:paraId="76BA61E4" w14:textId="2608C0F0" w:rsidR="003046F8" w:rsidRDefault="003046F8" w:rsidP="003046F8">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6</w:t>
      </w:r>
      <w:r w:rsidRPr="004E0E90">
        <w:rPr>
          <w:b/>
          <w:bCs/>
          <w:i/>
          <w:iCs/>
          <w:sz w:val="20"/>
          <w:szCs w:val="20"/>
        </w:rPr>
        <w:t xml:space="preserve">: </w:t>
      </w:r>
      <w:r>
        <w:rPr>
          <w:b/>
          <w:bCs/>
          <w:i/>
          <w:iCs/>
          <w:sz w:val="20"/>
          <w:szCs w:val="20"/>
        </w:rPr>
        <w:t>I</w:t>
      </w:r>
      <w:r w:rsidRPr="005C6CA2">
        <w:rPr>
          <w:b/>
          <w:bCs/>
          <w:i/>
          <w:iCs/>
          <w:sz w:val="20"/>
          <w:szCs w:val="20"/>
        </w:rPr>
        <w:t>t is</w:t>
      </w:r>
      <w:r>
        <w:rPr>
          <w:b/>
          <w:bCs/>
          <w:i/>
          <w:iCs/>
          <w:sz w:val="20"/>
          <w:szCs w:val="20"/>
        </w:rPr>
        <w:t xml:space="preserve"> proposed to consider only same SCS for both CCs to ease receiver design for the common RF chain.</w:t>
      </w:r>
    </w:p>
    <w:p w14:paraId="4AB4FAA7" w14:textId="77777777" w:rsidR="003046F8" w:rsidRPr="0024741D" w:rsidRDefault="003046F8" w:rsidP="003046F8">
      <w:pPr>
        <w:rPr>
          <w:color w:val="000000"/>
          <w:sz w:val="20"/>
          <w:szCs w:val="20"/>
        </w:rPr>
      </w:pPr>
    </w:p>
    <w:p w14:paraId="34C99636" w14:textId="77777777" w:rsidR="008E7986" w:rsidRDefault="008E7986" w:rsidP="008E7986">
      <w:pPr>
        <w:pStyle w:val="Heading1"/>
      </w:pPr>
      <w:r>
        <w:t>3</w:t>
      </w:r>
      <w:r>
        <w:tab/>
        <w:t>Conclusions</w:t>
      </w:r>
    </w:p>
    <w:p w14:paraId="6F3027FC" w14:textId="433D7669"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 and observations</w:t>
      </w:r>
      <w:r w:rsidR="00A91EAD">
        <w:rPr>
          <w:sz w:val="20"/>
          <w:szCs w:val="20"/>
        </w:rPr>
        <w:t>.</w:t>
      </w:r>
    </w:p>
    <w:p w14:paraId="008FBF47" w14:textId="77777777" w:rsidR="004C15C7" w:rsidRDefault="004C15C7" w:rsidP="00300BA9">
      <w:pPr>
        <w:rPr>
          <w:sz w:val="20"/>
          <w:szCs w:val="20"/>
        </w:rPr>
      </w:pPr>
    </w:p>
    <w:p w14:paraId="550B33A1" w14:textId="77777777" w:rsidR="007C7710" w:rsidRDefault="007C7710" w:rsidP="007C7710">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I</w:t>
      </w:r>
      <w:r w:rsidRPr="009309ED">
        <w:rPr>
          <w:b/>
          <w:bCs/>
          <w:i/>
          <w:iCs/>
          <w:sz w:val="20"/>
          <w:szCs w:val="20"/>
        </w:rPr>
        <w:t>t is proposed to agree</w:t>
      </w:r>
      <w:r>
        <w:rPr>
          <w:b/>
          <w:bCs/>
          <w:i/>
          <w:iCs/>
          <w:sz w:val="20"/>
          <w:szCs w:val="20"/>
        </w:rPr>
        <w:t xml:space="preserve"> that a</w:t>
      </w:r>
      <w:r w:rsidRPr="009309ED">
        <w:rPr>
          <w:b/>
          <w:bCs/>
          <w:i/>
          <w:iCs/>
          <w:sz w:val="20"/>
          <w:szCs w:val="20"/>
        </w:rPr>
        <w:t xml:space="preserve">djusted requirements for </w:t>
      </w:r>
      <w:r>
        <w:rPr>
          <w:b/>
          <w:bCs/>
          <w:i/>
          <w:iCs/>
          <w:sz w:val="20"/>
          <w:szCs w:val="20"/>
        </w:rPr>
        <w:t xml:space="preserve">UEs supporting </w:t>
      </w:r>
      <w:r w:rsidRPr="009309ED">
        <w:rPr>
          <w:b/>
          <w:bCs/>
          <w:i/>
          <w:iCs/>
          <w:sz w:val="20"/>
          <w:szCs w:val="20"/>
        </w:rPr>
        <w:t>fragmented carriers</w:t>
      </w:r>
      <w:r>
        <w:rPr>
          <w:b/>
          <w:bCs/>
          <w:i/>
          <w:iCs/>
          <w:sz w:val="20"/>
          <w:szCs w:val="20"/>
        </w:rPr>
        <w:t xml:space="preserve"> with common RF chain architecture</w:t>
      </w:r>
      <w:r w:rsidRPr="009309ED">
        <w:rPr>
          <w:b/>
          <w:bCs/>
          <w:i/>
          <w:iCs/>
          <w:sz w:val="20"/>
          <w:szCs w:val="20"/>
        </w:rPr>
        <w:t>, if any, shall be separated from the existing requirements</w:t>
      </w:r>
      <w:r>
        <w:rPr>
          <w:b/>
          <w:bCs/>
          <w:i/>
          <w:iCs/>
          <w:sz w:val="20"/>
          <w:szCs w:val="20"/>
        </w:rPr>
        <w:t>. A TP is needed to capture this agreement in the TR.</w:t>
      </w:r>
    </w:p>
    <w:p w14:paraId="592F6500" w14:textId="0E91889C" w:rsidR="0097658C" w:rsidRDefault="0097658C" w:rsidP="0097658C">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2</w:t>
      </w:r>
      <w:r w:rsidRPr="004E0E90">
        <w:rPr>
          <w:b/>
          <w:bCs/>
          <w:i/>
          <w:iCs/>
          <w:sz w:val="20"/>
          <w:szCs w:val="20"/>
        </w:rPr>
        <w:t xml:space="preserve">: </w:t>
      </w:r>
      <w:r w:rsidRPr="001D0D15">
        <w:rPr>
          <w:b/>
          <w:bCs/>
          <w:i/>
          <w:iCs/>
          <w:sz w:val="20"/>
          <w:szCs w:val="20"/>
        </w:rPr>
        <w:t>ΔR</w:t>
      </w:r>
      <w:r w:rsidRPr="001D0D15">
        <w:rPr>
          <w:b/>
          <w:bCs/>
          <w:i/>
          <w:iCs/>
          <w:sz w:val="20"/>
          <w:szCs w:val="20"/>
          <w:vertAlign w:val="subscript"/>
        </w:rPr>
        <w:t>IBNC</w:t>
      </w:r>
      <w:r w:rsidRPr="001D0D15">
        <w:rPr>
          <w:b/>
          <w:bCs/>
          <w:i/>
          <w:iCs/>
          <w:sz w:val="20"/>
          <w:szCs w:val="20"/>
        </w:rPr>
        <w:t xml:space="preserve"> </w:t>
      </w:r>
      <w:r>
        <w:rPr>
          <w:b/>
          <w:bCs/>
          <w:i/>
          <w:iCs/>
          <w:sz w:val="20"/>
          <w:szCs w:val="20"/>
        </w:rPr>
        <w:t xml:space="preserve">for SCC may </w:t>
      </w:r>
      <w:r w:rsidRPr="001D0D15">
        <w:rPr>
          <w:b/>
          <w:bCs/>
          <w:i/>
          <w:iCs/>
          <w:sz w:val="20"/>
          <w:szCs w:val="20"/>
        </w:rPr>
        <w:t>need to be updated to reflect the filter rejection reduction of common RF chain compared to separate RF chains</w:t>
      </w:r>
      <w:r>
        <w:rPr>
          <w:b/>
          <w:bCs/>
          <w:i/>
          <w:iCs/>
          <w:sz w:val="20"/>
          <w:szCs w:val="20"/>
        </w:rPr>
        <w:t xml:space="preserve"> for each</w:t>
      </w:r>
      <w:r w:rsidRPr="001D0D15">
        <w:rPr>
          <w:b/>
          <w:bCs/>
          <w:i/>
          <w:iCs/>
          <w:sz w:val="20"/>
          <w:szCs w:val="20"/>
        </w:rPr>
        <w:t xml:space="preserve"> intra-band non-contiguous CA band combination</w:t>
      </w:r>
      <w:r>
        <w:rPr>
          <w:b/>
          <w:bCs/>
          <w:i/>
          <w:iCs/>
          <w:sz w:val="20"/>
          <w:szCs w:val="20"/>
        </w:rPr>
        <w:t xml:space="preserve">. Furthermore, </w:t>
      </w:r>
      <w:r w:rsidRPr="001D0D15">
        <w:rPr>
          <w:b/>
          <w:bCs/>
          <w:i/>
          <w:iCs/>
          <w:sz w:val="20"/>
          <w:szCs w:val="20"/>
        </w:rPr>
        <w:t>ΔR</w:t>
      </w:r>
      <w:r w:rsidRPr="001D0D15">
        <w:rPr>
          <w:b/>
          <w:bCs/>
          <w:i/>
          <w:iCs/>
          <w:sz w:val="20"/>
          <w:szCs w:val="20"/>
          <w:vertAlign w:val="subscript"/>
        </w:rPr>
        <w:t>IBNC</w:t>
      </w:r>
      <w:r>
        <w:rPr>
          <w:b/>
          <w:bCs/>
          <w:i/>
          <w:iCs/>
          <w:sz w:val="20"/>
          <w:szCs w:val="20"/>
        </w:rPr>
        <w:t xml:space="preserve"> needs to appl</w:t>
      </w:r>
      <w:r w:rsidR="006043ED">
        <w:rPr>
          <w:b/>
          <w:bCs/>
          <w:i/>
          <w:iCs/>
          <w:sz w:val="20"/>
          <w:szCs w:val="20"/>
        </w:rPr>
        <w:t>y</w:t>
      </w:r>
      <w:r>
        <w:rPr>
          <w:b/>
          <w:bCs/>
          <w:i/>
          <w:iCs/>
          <w:sz w:val="20"/>
          <w:szCs w:val="20"/>
        </w:rPr>
        <w:t xml:space="preserve"> to PCC too, although the value of </w:t>
      </w:r>
      <w:r w:rsidRPr="001D0D15">
        <w:rPr>
          <w:b/>
          <w:bCs/>
          <w:i/>
          <w:iCs/>
          <w:sz w:val="20"/>
          <w:szCs w:val="20"/>
        </w:rPr>
        <w:t>ΔR</w:t>
      </w:r>
      <w:r w:rsidRPr="001D0D15">
        <w:rPr>
          <w:b/>
          <w:bCs/>
          <w:i/>
          <w:iCs/>
          <w:sz w:val="20"/>
          <w:szCs w:val="20"/>
          <w:vertAlign w:val="subscript"/>
        </w:rPr>
        <w:t>IBNC</w:t>
      </w:r>
      <w:r>
        <w:rPr>
          <w:b/>
          <w:bCs/>
          <w:i/>
          <w:iCs/>
          <w:sz w:val="20"/>
          <w:szCs w:val="20"/>
        </w:rPr>
        <w:t xml:space="preserve"> can be different for PCC and SCC.  </w:t>
      </w:r>
    </w:p>
    <w:p w14:paraId="267CD033" w14:textId="5639B499" w:rsidR="00434879" w:rsidRDefault="00434879" w:rsidP="00434879">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sidRPr="00864E87">
        <w:rPr>
          <w:b/>
          <w:bCs/>
          <w:i/>
          <w:iCs/>
          <w:sz w:val="20"/>
          <w:szCs w:val="20"/>
        </w:rPr>
        <w:t xml:space="preserve">It is proposed to </w:t>
      </w:r>
      <w:r>
        <w:rPr>
          <w:b/>
          <w:bCs/>
          <w:i/>
          <w:iCs/>
          <w:sz w:val="20"/>
          <w:szCs w:val="20"/>
        </w:rPr>
        <w:t>limit</w:t>
      </w:r>
      <w:r w:rsidRPr="00864E87">
        <w:rPr>
          <w:b/>
          <w:bCs/>
          <w:i/>
          <w:iCs/>
          <w:sz w:val="20"/>
          <w:szCs w:val="20"/>
        </w:rPr>
        <w:t xml:space="preserve"> </w:t>
      </w:r>
      <w:r>
        <w:rPr>
          <w:b/>
          <w:bCs/>
          <w:i/>
          <w:iCs/>
          <w:sz w:val="20"/>
          <w:szCs w:val="20"/>
        </w:rPr>
        <w:t xml:space="preserve">the PSD </w:t>
      </w:r>
      <w:r w:rsidRPr="00434879">
        <w:rPr>
          <w:b/>
          <w:bCs/>
          <w:i/>
          <w:iCs/>
          <w:sz w:val="20"/>
          <w:szCs w:val="20"/>
        </w:rPr>
        <w:t>difference betwee</w:t>
      </w:r>
      <w:r>
        <w:rPr>
          <w:b/>
          <w:bCs/>
          <w:i/>
          <w:iCs/>
          <w:sz w:val="20"/>
          <w:szCs w:val="20"/>
        </w:rPr>
        <w:t>n the blocker</w:t>
      </w:r>
      <w:r w:rsidRPr="00434879">
        <w:rPr>
          <w:b/>
          <w:bCs/>
          <w:i/>
          <w:iCs/>
          <w:sz w:val="20"/>
          <w:szCs w:val="20"/>
        </w:rPr>
        <w:t xml:space="preserve"> and the </w:t>
      </w:r>
      <w:r>
        <w:rPr>
          <w:b/>
          <w:bCs/>
          <w:i/>
          <w:iCs/>
          <w:sz w:val="20"/>
          <w:szCs w:val="20"/>
        </w:rPr>
        <w:t xml:space="preserve">CC </w:t>
      </w:r>
      <w:r w:rsidRPr="00434879">
        <w:rPr>
          <w:b/>
          <w:bCs/>
          <w:i/>
          <w:iCs/>
          <w:sz w:val="20"/>
          <w:szCs w:val="20"/>
        </w:rPr>
        <w:t>with the lower PSD</w:t>
      </w:r>
      <w:r>
        <w:rPr>
          <w:b/>
          <w:bCs/>
          <w:i/>
          <w:iCs/>
          <w:sz w:val="20"/>
          <w:szCs w:val="20"/>
        </w:rPr>
        <w:t xml:space="preserve"> to </w:t>
      </w:r>
      <w:r w:rsidR="004454A5">
        <w:rPr>
          <w:b/>
          <w:bCs/>
          <w:i/>
          <w:iCs/>
          <w:sz w:val="20"/>
          <w:szCs w:val="20"/>
        </w:rPr>
        <w:t>[</w:t>
      </w:r>
      <w:r w:rsidRPr="00864E87">
        <w:rPr>
          <w:b/>
          <w:bCs/>
          <w:i/>
          <w:iCs/>
          <w:sz w:val="20"/>
          <w:szCs w:val="20"/>
        </w:rPr>
        <w:t>6dB</w:t>
      </w:r>
      <w:r w:rsidR="004454A5">
        <w:rPr>
          <w:b/>
          <w:bCs/>
          <w:i/>
          <w:iCs/>
          <w:sz w:val="20"/>
          <w:szCs w:val="20"/>
        </w:rPr>
        <w:t>]</w:t>
      </w:r>
      <w:r w:rsidRPr="00864E87">
        <w:rPr>
          <w:b/>
          <w:bCs/>
          <w:i/>
          <w:iCs/>
          <w:sz w:val="20"/>
          <w:szCs w:val="20"/>
        </w:rPr>
        <w:t xml:space="preserve">. </w:t>
      </w:r>
    </w:p>
    <w:p w14:paraId="1278A6BE" w14:textId="0655307C" w:rsidR="00B61BF9" w:rsidRDefault="00B61BF9" w:rsidP="00B61BF9">
      <w:pPr>
        <w:spacing w:before="100" w:beforeAutospacing="1" w:after="100"/>
        <w:rPr>
          <w:b/>
          <w:bCs/>
          <w:i/>
          <w:iCs/>
          <w:sz w:val="20"/>
          <w:szCs w:val="20"/>
        </w:rPr>
      </w:pPr>
      <w:r w:rsidRPr="00CE355D">
        <w:rPr>
          <w:b/>
          <w:bCs/>
          <w:i/>
          <w:iCs/>
          <w:sz w:val="20"/>
          <w:szCs w:val="20"/>
        </w:rPr>
        <w:t xml:space="preserve">Proposal </w:t>
      </w:r>
      <w:r w:rsidR="007C7710">
        <w:rPr>
          <w:b/>
          <w:bCs/>
          <w:i/>
          <w:iCs/>
          <w:sz w:val="20"/>
          <w:szCs w:val="20"/>
        </w:rPr>
        <w:t>4</w:t>
      </w:r>
      <w:r w:rsidRPr="00CE355D">
        <w:rPr>
          <w:b/>
          <w:bCs/>
          <w:i/>
          <w:iCs/>
          <w:sz w:val="20"/>
          <w:szCs w:val="20"/>
        </w:rPr>
        <w:t xml:space="preserve">: It is proposed to consider as an alternative if it is feasible to define </w:t>
      </w:r>
      <w:r w:rsidRPr="00C25701">
        <w:rPr>
          <w:b/>
          <w:bCs/>
          <w:i/>
          <w:iCs/>
          <w:sz w:val="20"/>
          <w:szCs w:val="20"/>
        </w:rPr>
        <w:t>a total aggregated power of all blockers in the gap</w:t>
      </w:r>
      <w:r w:rsidRPr="00CE355D">
        <w:rPr>
          <w:b/>
          <w:bCs/>
          <w:i/>
          <w:iCs/>
          <w:sz w:val="20"/>
          <w:szCs w:val="20"/>
        </w:rPr>
        <w:t xml:space="preserve"> between CC1 and CC2.</w:t>
      </w:r>
    </w:p>
    <w:p w14:paraId="18A4CA89" w14:textId="655BC942" w:rsidR="0060672A" w:rsidRDefault="005C6CA2" w:rsidP="0060672A">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5</w:t>
      </w:r>
      <w:r w:rsidRPr="004E0E90">
        <w:rPr>
          <w:b/>
          <w:bCs/>
          <w:i/>
          <w:iCs/>
          <w:sz w:val="20"/>
          <w:szCs w:val="20"/>
        </w:rPr>
        <w:t xml:space="preserve">: </w:t>
      </w:r>
      <w:r>
        <w:rPr>
          <w:b/>
          <w:bCs/>
          <w:i/>
          <w:iCs/>
          <w:sz w:val="20"/>
          <w:szCs w:val="20"/>
        </w:rPr>
        <w:t>I</w:t>
      </w:r>
      <w:r w:rsidRPr="005C6CA2">
        <w:rPr>
          <w:b/>
          <w:bCs/>
          <w:i/>
          <w:iCs/>
          <w:sz w:val="20"/>
          <w:szCs w:val="20"/>
        </w:rPr>
        <w:t>t is not preferred to specify a new image rejection requirement.</w:t>
      </w:r>
      <w:r>
        <w:rPr>
          <w:b/>
          <w:bCs/>
          <w:i/>
          <w:iCs/>
          <w:sz w:val="20"/>
          <w:szCs w:val="20"/>
        </w:rPr>
        <w:t xml:space="preserve"> Instead, the blocker PSD relative to PSD of CCs should be limited, as in Proposal </w:t>
      </w:r>
      <w:r w:rsidR="00434879">
        <w:rPr>
          <w:b/>
          <w:bCs/>
          <w:i/>
          <w:iCs/>
          <w:sz w:val="20"/>
          <w:szCs w:val="20"/>
        </w:rPr>
        <w:t>3</w:t>
      </w:r>
      <w:r>
        <w:rPr>
          <w:b/>
          <w:bCs/>
          <w:i/>
          <w:iCs/>
          <w:sz w:val="20"/>
          <w:szCs w:val="20"/>
        </w:rPr>
        <w:t>.</w:t>
      </w:r>
    </w:p>
    <w:p w14:paraId="3B89E291" w14:textId="50CC669B" w:rsidR="00475109" w:rsidRDefault="00475109" w:rsidP="0060672A">
      <w:pPr>
        <w:spacing w:before="100" w:beforeAutospacing="1" w:after="100"/>
        <w:rPr>
          <w:b/>
          <w:bCs/>
          <w:i/>
          <w:iCs/>
          <w:sz w:val="20"/>
          <w:szCs w:val="20"/>
        </w:rPr>
      </w:pPr>
      <w:r w:rsidRPr="004E0E90">
        <w:rPr>
          <w:b/>
          <w:bCs/>
          <w:i/>
          <w:iCs/>
          <w:sz w:val="20"/>
          <w:szCs w:val="20"/>
        </w:rPr>
        <w:t xml:space="preserve">Proposal </w:t>
      </w:r>
      <w:r w:rsidR="007C7710">
        <w:rPr>
          <w:b/>
          <w:bCs/>
          <w:i/>
          <w:iCs/>
          <w:sz w:val="20"/>
          <w:szCs w:val="20"/>
        </w:rPr>
        <w:t>6</w:t>
      </w:r>
      <w:r w:rsidRPr="004E0E90">
        <w:rPr>
          <w:b/>
          <w:bCs/>
          <w:i/>
          <w:iCs/>
          <w:sz w:val="20"/>
          <w:szCs w:val="20"/>
        </w:rPr>
        <w:t xml:space="preserve">: </w:t>
      </w:r>
      <w:r>
        <w:rPr>
          <w:b/>
          <w:bCs/>
          <w:i/>
          <w:iCs/>
          <w:sz w:val="20"/>
          <w:szCs w:val="20"/>
        </w:rPr>
        <w:t>I</w:t>
      </w:r>
      <w:r w:rsidRPr="005C6CA2">
        <w:rPr>
          <w:b/>
          <w:bCs/>
          <w:i/>
          <w:iCs/>
          <w:sz w:val="20"/>
          <w:szCs w:val="20"/>
        </w:rPr>
        <w:t>t is</w:t>
      </w:r>
      <w:r>
        <w:rPr>
          <w:b/>
          <w:bCs/>
          <w:i/>
          <w:iCs/>
          <w:sz w:val="20"/>
          <w:szCs w:val="20"/>
        </w:rPr>
        <w:t xml:space="preserve"> proposed to consider only same SCS for both CCs to ease receiver design for the common RF chain.</w:t>
      </w:r>
    </w:p>
    <w:p w14:paraId="4D133CD8" w14:textId="4D8B9443" w:rsidR="00276EE4" w:rsidRPr="003A0483" w:rsidRDefault="005E69AE" w:rsidP="00BC4103">
      <w:pPr>
        <w:pStyle w:val="Heading1"/>
      </w:pPr>
      <w:r>
        <w:t>4</w:t>
      </w:r>
      <w:r>
        <w:tab/>
        <w:t>References</w:t>
      </w:r>
    </w:p>
    <w:p w14:paraId="10335E92" w14:textId="280DC156" w:rsidR="00821AEF" w:rsidRDefault="00C93538" w:rsidP="00276EE4">
      <w:pPr>
        <w:pStyle w:val="EX"/>
        <w:rPr>
          <w:sz w:val="20"/>
          <w:szCs w:val="20"/>
        </w:rPr>
      </w:pPr>
      <w:bookmarkStart w:id="11" w:name="_Ref31651909"/>
      <w:bookmarkStart w:id="12" w:name="_Ref13820109"/>
      <w:r w:rsidRPr="00C93538">
        <w:rPr>
          <w:sz w:val="20"/>
          <w:szCs w:val="20"/>
        </w:rPr>
        <w:t>RP‑24</w:t>
      </w:r>
      <w:r w:rsidR="00650EB8">
        <w:rPr>
          <w:sz w:val="20"/>
          <w:szCs w:val="20"/>
        </w:rPr>
        <w:t>1669</w:t>
      </w:r>
      <w:r w:rsidR="00821AEF" w:rsidRPr="00D857BA">
        <w:rPr>
          <w:sz w:val="20"/>
          <w:szCs w:val="20"/>
        </w:rPr>
        <w:t>, "</w:t>
      </w:r>
      <w:r w:rsidR="00650EB8" w:rsidRPr="00650EB8">
        <w:rPr>
          <w:sz w:val="20"/>
          <w:szCs w:val="20"/>
        </w:rPr>
        <w:t>New SID: Study on NR FR1 DL Fragmented Carriers</w:t>
      </w:r>
      <w:r>
        <w:rPr>
          <w:sz w:val="20"/>
          <w:szCs w:val="20"/>
        </w:rPr>
        <w:t>,</w:t>
      </w:r>
      <w:r w:rsidR="00821AEF" w:rsidRPr="00D857BA">
        <w:rPr>
          <w:sz w:val="20"/>
          <w:szCs w:val="20"/>
        </w:rPr>
        <w:t xml:space="preserve">" </w:t>
      </w:r>
      <w:bookmarkEnd w:id="11"/>
      <w:r w:rsidR="00650EB8" w:rsidRPr="00650EB8">
        <w:rPr>
          <w:sz w:val="20"/>
          <w:szCs w:val="20"/>
        </w:rPr>
        <w:t>MediaTek</w:t>
      </w:r>
    </w:p>
    <w:p w14:paraId="50A569BD" w14:textId="270D7364" w:rsidR="00BC4103" w:rsidRDefault="00EF45DD" w:rsidP="00782783">
      <w:pPr>
        <w:pStyle w:val="EX"/>
        <w:rPr>
          <w:sz w:val="20"/>
          <w:szCs w:val="20"/>
        </w:rPr>
      </w:pPr>
      <w:r w:rsidRPr="00EF45DD">
        <w:rPr>
          <w:sz w:val="20"/>
          <w:szCs w:val="20"/>
        </w:rPr>
        <w:t>R4-241</w:t>
      </w:r>
      <w:r w:rsidR="00EF06C3">
        <w:rPr>
          <w:sz w:val="20"/>
          <w:szCs w:val="20"/>
        </w:rPr>
        <w:t>7201</w:t>
      </w:r>
      <w:r w:rsidR="009D181E" w:rsidRPr="00D857BA">
        <w:rPr>
          <w:sz w:val="20"/>
          <w:szCs w:val="20"/>
        </w:rPr>
        <w:t>, "</w:t>
      </w:r>
      <w:r w:rsidRPr="00EF45DD">
        <w:rPr>
          <w:sz w:val="20"/>
          <w:szCs w:val="20"/>
        </w:rPr>
        <w:t>WF on fragmented DL carriers study</w:t>
      </w:r>
      <w:r w:rsidR="009D181E">
        <w:rPr>
          <w:sz w:val="20"/>
          <w:szCs w:val="20"/>
        </w:rPr>
        <w:t>,</w:t>
      </w:r>
      <w:r w:rsidR="009D181E" w:rsidRPr="00D857BA">
        <w:rPr>
          <w:sz w:val="20"/>
          <w:szCs w:val="20"/>
        </w:rPr>
        <w:t xml:space="preserve">" </w:t>
      </w:r>
      <w:r>
        <w:rPr>
          <w:sz w:val="20"/>
          <w:szCs w:val="20"/>
        </w:rPr>
        <w:t>MediaTek</w:t>
      </w:r>
      <w:bookmarkEnd w:id="0"/>
      <w:bookmarkEnd w:id="12"/>
    </w:p>
    <w:p w14:paraId="16445F87" w14:textId="119D1027" w:rsidR="005F613D" w:rsidRPr="005F613D" w:rsidRDefault="005F613D" w:rsidP="005F613D">
      <w:pPr>
        <w:pStyle w:val="EX"/>
        <w:rPr>
          <w:sz w:val="20"/>
          <w:szCs w:val="20"/>
        </w:rPr>
      </w:pPr>
      <w:r w:rsidRPr="005F613D">
        <w:rPr>
          <w:sz w:val="20"/>
          <w:szCs w:val="20"/>
        </w:rPr>
        <w:t>RP‑241257, "Views on SI of Fragmented Carriers in Rel-19," Huawei, HiSilicon</w:t>
      </w:r>
    </w:p>
    <w:sectPr w:rsidR="005F613D" w:rsidRPr="005F613D" w:rsidSect="00114E2C">
      <w:head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2EB97" w14:textId="77777777" w:rsidR="00671ABA" w:rsidRDefault="00671ABA">
      <w:r>
        <w:separator/>
      </w:r>
    </w:p>
  </w:endnote>
  <w:endnote w:type="continuationSeparator" w:id="0">
    <w:p w14:paraId="19C3A970" w14:textId="77777777" w:rsidR="00671ABA" w:rsidRDefault="0067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DF7DC" w14:textId="77777777" w:rsidR="00671ABA" w:rsidRDefault="00671ABA">
      <w:r>
        <w:separator/>
      </w:r>
    </w:p>
  </w:footnote>
  <w:footnote w:type="continuationSeparator" w:id="0">
    <w:p w14:paraId="064728BB" w14:textId="77777777" w:rsidR="00671ABA" w:rsidRDefault="0067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2"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0"/>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3"/>
  </w:num>
  <w:num w:numId="10" w16cid:durableId="1583371418">
    <w:abstractNumId w:val="29"/>
  </w:num>
  <w:num w:numId="11" w16cid:durableId="654532386">
    <w:abstractNumId w:val="11"/>
  </w:num>
  <w:num w:numId="12" w16cid:durableId="1304584639">
    <w:abstractNumId w:val="9"/>
  </w:num>
  <w:num w:numId="13" w16cid:durableId="721171787">
    <w:abstractNumId w:val="7"/>
  </w:num>
  <w:num w:numId="14" w16cid:durableId="1592349769">
    <w:abstractNumId w:val="28"/>
  </w:num>
  <w:num w:numId="15" w16cid:durableId="278998918">
    <w:abstractNumId w:val="14"/>
  </w:num>
  <w:num w:numId="16" w16cid:durableId="434713335">
    <w:abstractNumId w:val="26"/>
  </w:num>
  <w:num w:numId="17" w16cid:durableId="1786650561">
    <w:abstractNumId w:val="15"/>
  </w:num>
  <w:num w:numId="18" w16cid:durableId="119229966">
    <w:abstractNumId w:val="6"/>
  </w:num>
  <w:num w:numId="19" w16cid:durableId="773282714">
    <w:abstractNumId w:val="20"/>
  </w:num>
  <w:num w:numId="20" w16cid:durableId="1943295931">
    <w:abstractNumId w:val="1"/>
  </w:num>
  <w:num w:numId="21" w16cid:durableId="721640857">
    <w:abstractNumId w:val="33"/>
  </w:num>
  <w:num w:numId="22" w16cid:durableId="1167212164">
    <w:abstractNumId w:val="34"/>
  </w:num>
  <w:num w:numId="23" w16cid:durableId="240023206">
    <w:abstractNumId w:val="21"/>
  </w:num>
  <w:num w:numId="24" w16cid:durableId="191648044">
    <w:abstractNumId w:val="10"/>
  </w:num>
  <w:num w:numId="25" w16cid:durableId="473066965">
    <w:abstractNumId w:val="19"/>
  </w:num>
  <w:num w:numId="26" w16cid:durableId="1489638411">
    <w:abstractNumId w:val="17"/>
  </w:num>
  <w:num w:numId="27" w16cid:durableId="1422525457">
    <w:abstractNumId w:val="16"/>
  </w:num>
  <w:num w:numId="28" w16cid:durableId="653946618">
    <w:abstractNumId w:val="4"/>
  </w:num>
  <w:num w:numId="29" w16cid:durableId="1543327048">
    <w:abstractNumId w:val="35"/>
  </w:num>
  <w:num w:numId="30" w16cid:durableId="991716118">
    <w:abstractNumId w:val="12"/>
  </w:num>
  <w:num w:numId="31" w16cid:durableId="737675157">
    <w:abstractNumId w:val="13"/>
  </w:num>
  <w:num w:numId="32" w16cid:durableId="526335178">
    <w:abstractNumId w:val="8"/>
  </w:num>
  <w:num w:numId="33" w16cid:durableId="557739517">
    <w:abstractNumId w:val="22"/>
  </w:num>
  <w:num w:numId="34" w16cid:durableId="1264847130">
    <w:abstractNumId w:val="31"/>
  </w:num>
  <w:num w:numId="35" w16cid:durableId="371812856">
    <w:abstractNumId w:val="24"/>
  </w:num>
  <w:num w:numId="36" w16cid:durableId="1489981921">
    <w:abstractNumId w:val="27"/>
  </w:num>
  <w:num w:numId="37" w16cid:durableId="612204437">
    <w:abstractNumId w:val="25"/>
  </w:num>
  <w:num w:numId="38" w16cid:durableId="6299148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62F6"/>
    <w:rsid w:val="00026BD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7697"/>
    <w:rsid w:val="00080512"/>
    <w:rsid w:val="00082A83"/>
    <w:rsid w:val="0009500A"/>
    <w:rsid w:val="00096CD8"/>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5033"/>
    <w:rsid w:val="001319D7"/>
    <w:rsid w:val="00133525"/>
    <w:rsid w:val="00134E23"/>
    <w:rsid w:val="00135619"/>
    <w:rsid w:val="00152010"/>
    <w:rsid w:val="001613D8"/>
    <w:rsid w:val="001620A7"/>
    <w:rsid w:val="00162A8A"/>
    <w:rsid w:val="00165302"/>
    <w:rsid w:val="00171166"/>
    <w:rsid w:val="00182F98"/>
    <w:rsid w:val="0019040A"/>
    <w:rsid w:val="00191964"/>
    <w:rsid w:val="00193F04"/>
    <w:rsid w:val="001A1513"/>
    <w:rsid w:val="001A4201"/>
    <w:rsid w:val="001A4C42"/>
    <w:rsid w:val="001C21C3"/>
    <w:rsid w:val="001D02C2"/>
    <w:rsid w:val="001D0D15"/>
    <w:rsid w:val="001D3883"/>
    <w:rsid w:val="001D69B8"/>
    <w:rsid w:val="001E56AE"/>
    <w:rsid w:val="001E6A20"/>
    <w:rsid w:val="001F0C1D"/>
    <w:rsid w:val="001F1132"/>
    <w:rsid w:val="001F168B"/>
    <w:rsid w:val="00200761"/>
    <w:rsid w:val="00210943"/>
    <w:rsid w:val="002110E6"/>
    <w:rsid w:val="00211302"/>
    <w:rsid w:val="00217AB6"/>
    <w:rsid w:val="00223E60"/>
    <w:rsid w:val="00224D35"/>
    <w:rsid w:val="00225E3F"/>
    <w:rsid w:val="0023088C"/>
    <w:rsid w:val="002347A2"/>
    <w:rsid w:val="002419B9"/>
    <w:rsid w:val="0024741D"/>
    <w:rsid w:val="00247926"/>
    <w:rsid w:val="00254E0F"/>
    <w:rsid w:val="00255247"/>
    <w:rsid w:val="002557C8"/>
    <w:rsid w:val="00257A99"/>
    <w:rsid w:val="002600B9"/>
    <w:rsid w:val="00261DE3"/>
    <w:rsid w:val="00262167"/>
    <w:rsid w:val="002654F1"/>
    <w:rsid w:val="002675F0"/>
    <w:rsid w:val="00276EE4"/>
    <w:rsid w:val="002808D2"/>
    <w:rsid w:val="00281AB7"/>
    <w:rsid w:val="00285094"/>
    <w:rsid w:val="002868F0"/>
    <w:rsid w:val="00287B8F"/>
    <w:rsid w:val="00292223"/>
    <w:rsid w:val="002A1D5F"/>
    <w:rsid w:val="002A4E8C"/>
    <w:rsid w:val="002A5644"/>
    <w:rsid w:val="002A7133"/>
    <w:rsid w:val="002B2D3F"/>
    <w:rsid w:val="002B378B"/>
    <w:rsid w:val="002B6339"/>
    <w:rsid w:val="002D16F1"/>
    <w:rsid w:val="002D22D9"/>
    <w:rsid w:val="002D56F3"/>
    <w:rsid w:val="002D6F19"/>
    <w:rsid w:val="002E00EE"/>
    <w:rsid w:val="002F1AB0"/>
    <w:rsid w:val="002F21F4"/>
    <w:rsid w:val="002F5216"/>
    <w:rsid w:val="00300ACF"/>
    <w:rsid w:val="00300BA9"/>
    <w:rsid w:val="00301868"/>
    <w:rsid w:val="00303F37"/>
    <w:rsid w:val="003046F8"/>
    <w:rsid w:val="00305D70"/>
    <w:rsid w:val="00307031"/>
    <w:rsid w:val="003107C2"/>
    <w:rsid w:val="00313A57"/>
    <w:rsid w:val="003172DC"/>
    <w:rsid w:val="00324314"/>
    <w:rsid w:val="003348D2"/>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65B8"/>
    <w:rsid w:val="00384F83"/>
    <w:rsid w:val="00392980"/>
    <w:rsid w:val="003A0483"/>
    <w:rsid w:val="003B264E"/>
    <w:rsid w:val="003B4652"/>
    <w:rsid w:val="003B662D"/>
    <w:rsid w:val="003C208D"/>
    <w:rsid w:val="003C3971"/>
    <w:rsid w:val="003C3C9E"/>
    <w:rsid w:val="003C4D69"/>
    <w:rsid w:val="003D12B4"/>
    <w:rsid w:val="003D37E2"/>
    <w:rsid w:val="003D4522"/>
    <w:rsid w:val="003E2C78"/>
    <w:rsid w:val="003E7753"/>
    <w:rsid w:val="003F07E3"/>
    <w:rsid w:val="003F5675"/>
    <w:rsid w:val="003F6793"/>
    <w:rsid w:val="0040110C"/>
    <w:rsid w:val="0040183E"/>
    <w:rsid w:val="00402D6C"/>
    <w:rsid w:val="0041089F"/>
    <w:rsid w:val="00412687"/>
    <w:rsid w:val="00423334"/>
    <w:rsid w:val="00424397"/>
    <w:rsid w:val="0042630D"/>
    <w:rsid w:val="0042668D"/>
    <w:rsid w:val="004273BD"/>
    <w:rsid w:val="00430001"/>
    <w:rsid w:val="004345EC"/>
    <w:rsid w:val="00434879"/>
    <w:rsid w:val="0043539B"/>
    <w:rsid w:val="00435B44"/>
    <w:rsid w:val="004406A5"/>
    <w:rsid w:val="00442E80"/>
    <w:rsid w:val="00443B1F"/>
    <w:rsid w:val="004454A5"/>
    <w:rsid w:val="00445952"/>
    <w:rsid w:val="00447B7C"/>
    <w:rsid w:val="00447E12"/>
    <w:rsid w:val="00452D22"/>
    <w:rsid w:val="00455635"/>
    <w:rsid w:val="00472C04"/>
    <w:rsid w:val="004735B3"/>
    <w:rsid w:val="00474601"/>
    <w:rsid w:val="00475109"/>
    <w:rsid w:val="0048182A"/>
    <w:rsid w:val="004826A9"/>
    <w:rsid w:val="004837BD"/>
    <w:rsid w:val="00485B6A"/>
    <w:rsid w:val="00492FF7"/>
    <w:rsid w:val="0049650C"/>
    <w:rsid w:val="004A603D"/>
    <w:rsid w:val="004A6B02"/>
    <w:rsid w:val="004B0ECB"/>
    <w:rsid w:val="004C15C7"/>
    <w:rsid w:val="004C1601"/>
    <w:rsid w:val="004C21DF"/>
    <w:rsid w:val="004C5265"/>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20120"/>
    <w:rsid w:val="005204B4"/>
    <w:rsid w:val="0052244D"/>
    <w:rsid w:val="0052286C"/>
    <w:rsid w:val="00525B0E"/>
    <w:rsid w:val="005273BE"/>
    <w:rsid w:val="005274EC"/>
    <w:rsid w:val="0053173F"/>
    <w:rsid w:val="005324C2"/>
    <w:rsid w:val="0053388B"/>
    <w:rsid w:val="00535773"/>
    <w:rsid w:val="00537C54"/>
    <w:rsid w:val="00542052"/>
    <w:rsid w:val="0054259C"/>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7526"/>
    <w:rsid w:val="005E69AE"/>
    <w:rsid w:val="005F22A6"/>
    <w:rsid w:val="005F4B4C"/>
    <w:rsid w:val="005F4CDD"/>
    <w:rsid w:val="005F613D"/>
    <w:rsid w:val="005F6269"/>
    <w:rsid w:val="006021D4"/>
    <w:rsid w:val="00602AEA"/>
    <w:rsid w:val="006043ED"/>
    <w:rsid w:val="0060672A"/>
    <w:rsid w:val="00607E3C"/>
    <w:rsid w:val="00610C4E"/>
    <w:rsid w:val="00614FDF"/>
    <w:rsid w:val="00623C82"/>
    <w:rsid w:val="006246A7"/>
    <w:rsid w:val="0062595A"/>
    <w:rsid w:val="00632B45"/>
    <w:rsid w:val="00633224"/>
    <w:rsid w:val="006343D6"/>
    <w:rsid w:val="0063543D"/>
    <w:rsid w:val="006425C3"/>
    <w:rsid w:val="006426A7"/>
    <w:rsid w:val="00643869"/>
    <w:rsid w:val="006446B1"/>
    <w:rsid w:val="006459B5"/>
    <w:rsid w:val="00647114"/>
    <w:rsid w:val="00650EB8"/>
    <w:rsid w:val="006552DD"/>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30D0"/>
    <w:rsid w:val="006B79CB"/>
    <w:rsid w:val="006C043F"/>
    <w:rsid w:val="006C0AD3"/>
    <w:rsid w:val="006C28A7"/>
    <w:rsid w:val="006C3D95"/>
    <w:rsid w:val="006C638F"/>
    <w:rsid w:val="006C79D3"/>
    <w:rsid w:val="006D11F6"/>
    <w:rsid w:val="006D1E99"/>
    <w:rsid w:val="006E3141"/>
    <w:rsid w:val="006E5154"/>
    <w:rsid w:val="006E5C86"/>
    <w:rsid w:val="006F71F4"/>
    <w:rsid w:val="00705538"/>
    <w:rsid w:val="007059D9"/>
    <w:rsid w:val="007060EB"/>
    <w:rsid w:val="00713AD9"/>
    <w:rsid w:val="00713C44"/>
    <w:rsid w:val="00723A44"/>
    <w:rsid w:val="00726A73"/>
    <w:rsid w:val="00734A5B"/>
    <w:rsid w:val="0074026F"/>
    <w:rsid w:val="007420D3"/>
    <w:rsid w:val="007429F6"/>
    <w:rsid w:val="00742B5A"/>
    <w:rsid w:val="00744E76"/>
    <w:rsid w:val="0074723D"/>
    <w:rsid w:val="00752198"/>
    <w:rsid w:val="00753881"/>
    <w:rsid w:val="00753F44"/>
    <w:rsid w:val="00754A6B"/>
    <w:rsid w:val="00756E2A"/>
    <w:rsid w:val="007615CA"/>
    <w:rsid w:val="00762483"/>
    <w:rsid w:val="0076512C"/>
    <w:rsid w:val="00771937"/>
    <w:rsid w:val="0077432F"/>
    <w:rsid w:val="00774DA4"/>
    <w:rsid w:val="00777FBD"/>
    <w:rsid w:val="00781F0F"/>
    <w:rsid w:val="00782783"/>
    <w:rsid w:val="007851C1"/>
    <w:rsid w:val="00786D37"/>
    <w:rsid w:val="0079072F"/>
    <w:rsid w:val="00791FEE"/>
    <w:rsid w:val="007B2F1E"/>
    <w:rsid w:val="007B462B"/>
    <w:rsid w:val="007B4BDA"/>
    <w:rsid w:val="007B600E"/>
    <w:rsid w:val="007B6355"/>
    <w:rsid w:val="007C4A4E"/>
    <w:rsid w:val="007C6A12"/>
    <w:rsid w:val="007C7710"/>
    <w:rsid w:val="007D5172"/>
    <w:rsid w:val="007D53B3"/>
    <w:rsid w:val="007D5A1C"/>
    <w:rsid w:val="007D7D88"/>
    <w:rsid w:val="007E2E4B"/>
    <w:rsid w:val="007E3EB8"/>
    <w:rsid w:val="007E6293"/>
    <w:rsid w:val="007F0F4A"/>
    <w:rsid w:val="008028A4"/>
    <w:rsid w:val="00803440"/>
    <w:rsid w:val="008038C2"/>
    <w:rsid w:val="00810E8D"/>
    <w:rsid w:val="00811EA5"/>
    <w:rsid w:val="008169B3"/>
    <w:rsid w:val="00820B25"/>
    <w:rsid w:val="00820E0F"/>
    <w:rsid w:val="00821AEF"/>
    <w:rsid w:val="00826E3B"/>
    <w:rsid w:val="00830747"/>
    <w:rsid w:val="00831A72"/>
    <w:rsid w:val="00833358"/>
    <w:rsid w:val="008340FF"/>
    <w:rsid w:val="008366FC"/>
    <w:rsid w:val="00841896"/>
    <w:rsid w:val="0084389E"/>
    <w:rsid w:val="00843B15"/>
    <w:rsid w:val="00845B02"/>
    <w:rsid w:val="00854DFA"/>
    <w:rsid w:val="008559EF"/>
    <w:rsid w:val="008569D0"/>
    <w:rsid w:val="00861CEC"/>
    <w:rsid w:val="00863A2E"/>
    <w:rsid w:val="00864E87"/>
    <w:rsid w:val="008768CA"/>
    <w:rsid w:val="0088083B"/>
    <w:rsid w:val="008826B0"/>
    <w:rsid w:val="008A479E"/>
    <w:rsid w:val="008A54F8"/>
    <w:rsid w:val="008A5EFF"/>
    <w:rsid w:val="008B2D3A"/>
    <w:rsid w:val="008C0EF3"/>
    <w:rsid w:val="008C1634"/>
    <w:rsid w:val="008C384C"/>
    <w:rsid w:val="008C4A39"/>
    <w:rsid w:val="008D3F18"/>
    <w:rsid w:val="008E112D"/>
    <w:rsid w:val="008E4082"/>
    <w:rsid w:val="008E734D"/>
    <w:rsid w:val="008E7986"/>
    <w:rsid w:val="008F15A3"/>
    <w:rsid w:val="008F6E7F"/>
    <w:rsid w:val="0090271F"/>
    <w:rsid w:val="00902E23"/>
    <w:rsid w:val="00904160"/>
    <w:rsid w:val="00906915"/>
    <w:rsid w:val="009073D6"/>
    <w:rsid w:val="00910D9E"/>
    <w:rsid w:val="009114D7"/>
    <w:rsid w:val="009125EF"/>
    <w:rsid w:val="0091348E"/>
    <w:rsid w:val="00915D75"/>
    <w:rsid w:val="00917398"/>
    <w:rsid w:val="00917CCB"/>
    <w:rsid w:val="00917D25"/>
    <w:rsid w:val="009238A8"/>
    <w:rsid w:val="00924DAC"/>
    <w:rsid w:val="00926F97"/>
    <w:rsid w:val="00931E75"/>
    <w:rsid w:val="0093257B"/>
    <w:rsid w:val="00935B71"/>
    <w:rsid w:val="009426F4"/>
    <w:rsid w:val="00942EC2"/>
    <w:rsid w:val="00947ADF"/>
    <w:rsid w:val="00947F73"/>
    <w:rsid w:val="009518F8"/>
    <w:rsid w:val="009545A1"/>
    <w:rsid w:val="00963CE0"/>
    <w:rsid w:val="009648C8"/>
    <w:rsid w:val="009653C7"/>
    <w:rsid w:val="00970E90"/>
    <w:rsid w:val="009750A6"/>
    <w:rsid w:val="0097658C"/>
    <w:rsid w:val="009876B4"/>
    <w:rsid w:val="00991277"/>
    <w:rsid w:val="00991C1A"/>
    <w:rsid w:val="009A371E"/>
    <w:rsid w:val="009A758A"/>
    <w:rsid w:val="009B308E"/>
    <w:rsid w:val="009B54B4"/>
    <w:rsid w:val="009C2C1B"/>
    <w:rsid w:val="009C412B"/>
    <w:rsid w:val="009C47B5"/>
    <w:rsid w:val="009D181E"/>
    <w:rsid w:val="009E0885"/>
    <w:rsid w:val="009E1B5E"/>
    <w:rsid w:val="009E4AB1"/>
    <w:rsid w:val="009F237D"/>
    <w:rsid w:val="009F2F14"/>
    <w:rsid w:val="009F37B7"/>
    <w:rsid w:val="009F4887"/>
    <w:rsid w:val="009F5E43"/>
    <w:rsid w:val="00A03460"/>
    <w:rsid w:val="00A051F0"/>
    <w:rsid w:val="00A07446"/>
    <w:rsid w:val="00A10F02"/>
    <w:rsid w:val="00A152D7"/>
    <w:rsid w:val="00A164B4"/>
    <w:rsid w:val="00A22731"/>
    <w:rsid w:val="00A22938"/>
    <w:rsid w:val="00A241A7"/>
    <w:rsid w:val="00A255D6"/>
    <w:rsid w:val="00A2564E"/>
    <w:rsid w:val="00A26956"/>
    <w:rsid w:val="00A33E80"/>
    <w:rsid w:val="00A37271"/>
    <w:rsid w:val="00A41A75"/>
    <w:rsid w:val="00A4303F"/>
    <w:rsid w:val="00A44B59"/>
    <w:rsid w:val="00A47362"/>
    <w:rsid w:val="00A53724"/>
    <w:rsid w:val="00A5526E"/>
    <w:rsid w:val="00A6183F"/>
    <w:rsid w:val="00A66A04"/>
    <w:rsid w:val="00A73129"/>
    <w:rsid w:val="00A76978"/>
    <w:rsid w:val="00A76F2E"/>
    <w:rsid w:val="00A82346"/>
    <w:rsid w:val="00A82D1F"/>
    <w:rsid w:val="00A8668F"/>
    <w:rsid w:val="00A9153E"/>
    <w:rsid w:val="00A91EAD"/>
    <w:rsid w:val="00A92BA1"/>
    <w:rsid w:val="00A951A7"/>
    <w:rsid w:val="00AB1652"/>
    <w:rsid w:val="00AB7F3B"/>
    <w:rsid w:val="00AC0039"/>
    <w:rsid w:val="00AC135F"/>
    <w:rsid w:val="00AC3AC2"/>
    <w:rsid w:val="00AC4BA4"/>
    <w:rsid w:val="00AC54B7"/>
    <w:rsid w:val="00AC6BC6"/>
    <w:rsid w:val="00AC6D1E"/>
    <w:rsid w:val="00AD2973"/>
    <w:rsid w:val="00AD47EE"/>
    <w:rsid w:val="00AD5DD7"/>
    <w:rsid w:val="00AE03D3"/>
    <w:rsid w:val="00AE361D"/>
    <w:rsid w:val="00AE3797"/>
    <w:rsid w:val="00AE5821"/>
    <w:rsid w:val="00AF36D6"/>
    <w:rsid w:val="00AF42F5"/>
    <w:rsid w:val="00AF4359"/>
    <w:rsid w:val="00AF4FE2"/>
    <w:rsid w:val="00AF5752"/>
    <w:rsid w:val="00B03FD0"/>
    <w:rsid w:val="00B06539"/>
    <w:rsid w:val="00B10171"/>
    <w:rsid w:val="00B10CD1"/>
    <w:rsid w:val="00B13F54"/>
    <w:rsid w:val="00B15449"/>
    <w:rsid w:val="00B15669"/>
    <w:rsid w:val="00B16019"/>
    <w:rsid w:val="00B16451"/>
    <w:rsid w:val="00B211C1"/>
    <w:rsid w:val="00B27217"/>
    <w:rsid w:val="00B27C15"/>
    <w:rsid w:val="00B32270"/>
    <w:rsid w:val="00B3654C"/>
    <w:rsid w:val="00B4129B"/>
    <w:rsid w:val="00B43A3F"/>
    <w:rsid w:val="00B44E1F"/>
    <w:rsid w:val="00B4615A"/>
    <w:rsid w:val="00B51D01"/>
    <w:rsid w:val="00B54EBB"/>
    <w:rsid w:val="00B60B51"/>
    <w:rsid w:val="00B61BF9"/>
    <w:rsid w:val="00B61EEA"/>
    <w:rsid w:val="00B620CD"/>
    <w:rsid w:val="00B62DE3"/>
    <w:rsid w:val="00B650A3"/>
    <w:rsid w:val="00B745B2"/>
    <w:rsid w:val="00B763CA"/>
    <w:rsid w:val="00B774BF"/>
    <w:rsid w:val="00B77748"/>
    <w:rsid w:val="00B826B2"/>
    <w:rsid w:val="00B83171"/>
    <w:rsid w:val="00B838F7"/>
    <w:rsid w:val="00B913A1"/>
    <w:rsid w:val="00B93086"/>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F128E"/>
    <w:rsid w:val="00BF1E1E"/>
    <w:rsid w:val="00C02C5C"/>
    <w:rsid w:val="00C054B3"/>
    <w:rsid w:val="00C14737"/>
    <w:rsid w:val="00C1496A"/>
    <w:rsid w:val="00C15F7F"/>
    <w:rsid w:val="00C2281E"/>
    <w:rsid w:val="00C24837"/>
    <w:rsid w:val="00C25701"/>
    <w:rsid w:val="00C26810"/>
    <w:rsid w:val="00C33079"/>
    <w:rsid w:val="00C34DDA"/>
    <w:rsid w:val="00C353F4"/>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B3FB8"/>
    <w:rsid w:val="00CB51CC"/>
    <w:rsid w:val="00CC59FA"/>
    <w:rsid w:val="00CD0EA6"/>
    <w:rsid w:val="00CD45C9"/>
    <w:rsid w:val="00CD655A"/>
    <w:rsid w:val="00CE355D"/>
    <w:rsid w:val="00CE4C40"/>
    <w:rsid w:val="00CF20E3"/>
    <w:rsid w:val="00CF432C"/>
    <w:rsid w:val="00CF66FA"/>
    <w:rsid w:val="00D008D3"/>
    <w:rsid w:val="00D04514"/>
    <w:rsid w:val="00D05632"/>
    <w:rsid w:val="00D056CA"/>
    <w:rsid w:val="00D0718E"/>
    <w:rsid w:val="00D07C26"/>
    <w:rsid w:val="00D1674E"/>
    <w:rsid w:val="00D17573"/>
    <w:rsid w:val="00D21512"/>
    <w:rsid w:val="00D3057E"/>
    <w:rsid w:val="00D309CC"/>
    <w:rsid w:val="00D36FF0"/>
    <w:rsid w:val="00D40E9C"/>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34D"/>
    <w:rsid w:val="00D970EA"/>
    <w:rsid w:val="00D97FCF"/>
    <w:rsid w:val="00DA14D7"/>
    <w:rsid w:val="00DA27C2"/>
    <w:rsid w:val="00DA60EC"/>
    <w:rsid w:val="00DA7A03"/>
    <w:rsid w:val="00DB1818"/>
    <w:rsid w:val="00DB5EF6"/>
    <w:rsid w:val="00DC2758"/>
    <w:rsid w:val="00DC309B"/>
    <w:rsid w:val="00DC3D44"/>
    <w:rsid w:val="00DC4DA2"/>
    <w:rsid w:val="00DC7727"/>
    <w:rsid w:val="00DD03DF"/>
    <w:rsid w:val="00DD18AC"/>
    <w:rsid w:val="00DD27CF"/>
    <w:rsid w:val="00DD4C17"/>
    <w:rsid w:val="00DE676A"/>
    <w:rsid w:val="00DF1E43"/>
    <w:rsid w:val="00DF259E"/>
    <w:rsid w:val="00DF2B1F"/>
    <w:rsid w:val="00DF6189"/>
    <w:rsid w:val="00DF62CD"/>
    <w:rsid w:val="00E00755"/>
    <w:rsid w:val="00E02E2B"/>
    <w:rsid w:val="00E0679D"/>
    <w:rsid w:val="00E068AE"/>
    <w:rsid w:val="00E07D2B"/>
    <w:rsid w:val="00E100E0"/>
    <w:rsid w:val="00E144A6"/>
    <w:rsid w:val="00E1558D"/>
    <w:rsid w:val="00E16486"/>
    <w:rsid w:val="00E16509"/>
    <w:rsid w:val="00E22E04"/>
    <w:rsid w:val="00E32E87"/>
    <w:rsid w:val="00E40560"/>
    <w:rsid w:val="00E41341"/>
    <w:rsid w:val="00E44582"/>
    <w:rsid w:val="00E45E4A"/>
    <w:rsid w:val="00E52814"/>
    <w:rsid w:val="00E52EB1"/>
    <w:rsid w:val="00E670FF"/>
    <w:rsid w:val="00E72324"/>
    <w:rsid w:val="00E723B3"/>
    <w:rsid w:val="00E72ABE"/>
    <w:rsid w:val="00E77645"/>
    <w:rsid w:val="00E84530"/>
    <w:rsid w:val="00E87309"/>
    <w:rsid w:val="00E87A96"/>
    <w:rsid w:val="00EA38BE"/>
    <w:rsid w:val="00EA3BA5"/>
    <w:rsid w:val="00EB22F4"/>
    <w:rsid w:val="00EC3517"/>
    <w:rsid w:val="00EC454E"/>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567B"/>
    <w:rsid w:val="00F064C8"/>
    <w:rsid w:val="00F07B00"/>
    <w:rsid w:val="00F1084D"/>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650D"/>
    <w:rsid w:val="00F40BE4"/>
    <w:rsid w:val="00F417A1"/>
    <w:rsid w:val="00F538FE"/>
    <w:rsid w:val="00F5593C"/>
    <w:rsid w:val="00F55E63"/>
    <w:rsid w:val="00F561B1"/>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56EC"/>
    <w:rsid w:val="00FC1192"/>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26</cp:revision>
  <cp:lastPrinted>2019-02-25T14:05:00Z</cp:lastPrinted>
  <dcterms:created xsi:type="dcterms:W3CDTF">2024-10-07T14:13:00Z</dcterms:created>
  <dcterms:modified xsi:type="dcterms:W3CDTF">2024-11-08T19:34:00Z</dcterms:modified>
  <cp:category/>
</cp:coreProperties>
</file>